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header0001_first.xml" ContentType="application/vnd.openxmlformats-officedocument.wordprocessingml.header+xml"/>
  <Override PartName="/word/footer0001_first.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Segoe UI" w:hAnsi="Segoe UI" w:eastAsia="Segoe UI" w:cs="Segoe UI"/>
          <w:b/>
          <w:bCs/>
          <w:color w:val="44546A"/>
          <w:sz w:val="36"/>
          <w:szCs w:val="36"/>
          <w:lang w:val="en-US" w:eastAsia="en-US" w:bidi="en-US"/>
        </w:rPr>
      </w:pPr>
      <w:r>
        <w:rPr>
          <w:rFonts w:ascii="Segoe UI" w:hAnsi="Segoe UI" w:eastAsia="Segoe UI" w:cs="Segoe UI"/>
          <w:b/>
          <w:bCs/>
          <w:color w:val="44546A"/>
          <w:sz w:val="36"/>
          <w:szCs w:val="36"/>
          <w:lang w:val="en-US" w:eastAsia="en-US" w:bidi="en-US"/>
        </w:rPr>
        <w:t xml:space="preserve">Systems Engineer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rFonts w:ascii="Segoe UI" w:hAnsi="Segoe UI" w:eastAsia="Segoe UI" w:cs="Segoe UI"/>
          <w:sz w:val="20"/>
          <w:szCs w:val="20"/>
          <w:lang w:val="en-US" w:eastAsia="en-US" w:bidi="en-US"/>
        </w:rPr>
      </w:pPr>
      <w:r>
        <w:rPr>
          <w:rFonts w:ascii="Segoe UI" w:hAnsi="Segoe UI" w:eastAsia="Segoe UI" w:cs="Segoe UI"/>
          <w:color w:val="5B9BD5"/>
          <w:sz w:val="20"/>
          <w:szCs w:val="20"/>
          <w:lang w:val="en-US" w:eastAsia="en-US" w:bidi="en-US"/>
        </w:rPr>
        <w:t xml:space="preserve">Dept: </w:t>
      </w:r>
      <w:r>
        <w:rPr>
          <w:rFonts w:ascii="Segoe UI" w:hAnsi="Segoe UI" w:eastAsia="Segoe UI" w:cs="Segoe UI"/>
          <w:sz w:val="20"/>
          <w:szCs w:val="20"/>
          <w:lang w:val="en-US" w:eastAsia="en-US" w:bidi="en-US"/>
        </w:rPr>
        <w:t xml:space="preserve">Engineering &amp; PMO</w:t>
        <w:br w:type="textWrapping"/>
      </w:r>
      <w:r>
        <w:rPr>
          <w:rFonts w:ascii="Segoe UI" w:hAnsi="Segoe UI" w:eastAsia="Segoe UI" w:cs="Segoe UI"/>
          <w:color w:val="5B9BD5"/>
          <w:sz w:val="20"/>
          <w:szCs w:val="20"/>
          <w:lang w:val="en-US" w:eastAsia="en-US" w:bidi="en-US"/>
        </w:rPr>
        <w:t xml:space="preserve">Reports to: </w:t>
      </w:r>
      <w:r>
        <w:rPr>
          <w:rFonts w:ascii="Segoe UI" w:hAnsi="Segoe UI" w:eastAsia="Segoe UI" w:cs="Segoe UI"/>
          <w:sz w:val="20"/>
          <w:szCs w:val="20"/>
          <w:lang w:val="en-US" w:eastAsia="en-US" w:bidi="en-US"/>
        </w:rPr>
        <w:t xml:space="preserve">Principal Systems Engineer VLA</w:t>
        <w:br w:type="textWrapping"/>
      </w:r>
      <w:r>
        <w:rPr>
          <w:rFonts w:ascii="Segoe UI" w:hAnsi="Segoe UI" w:eastAsia="Segoe UI" w:cs="Segoe UI"/>
          <w:color w:val="5B9BD5"/>
          <w:sz w:val="20"/>
          <w:szCs w:val="20"/>
          <w:lang w:val="en-US" w:eastAsia="en-US" w:bidi="en-US"/>
        </w:rPr>
        <w:t xml:space="preserve">Location: </w:t>
      </w:r>
      <w:r>
        <w:rPr>
          <w:rFonts w:ascii="Segoe UI" w:hAnsi="Segoe UI" w:eastAsia="Segoe UI" w:cs="Segoe UI"/>
          <w:sz w:val="20"/>
          <w:szCs w:val="20"/>
          <w:lang w:val="en-US" w:eastAsia="en-US" w:bidi="en-US"/>
        </w:rPr>
        <w:t xml:space="preserve">Poole, UK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78" w:lineRule="auto"/>
        <w:rPr>
          <w:rFonts w:ascii="Segoe UI" w:hAnsi="Segoe UI" w:eastAsia="Segoe UI" w:cs="Segoe UI"/>
          <w:color w:val="000000"/>
          <w:sz w:val="18"/>
          <w:szCs w:val="1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rPr>
          <w:rFonts w:ascii="Segoe UI" w:hAnsi="Segoe UI" w:eastAsia="Segoe UI" w:cs="Segoe UI"/>
          <w:b/>
          <w:bCs/>
          <w:color w:val="44546A"/>
          <w:sz w:val="20"/>
          <w:szCs w:val="20"/>
          <w:lang w:val="en-US" w:eastAsia="en-US" w:bidi="en-US"/>
        </w:rPr>
      </w:pPr>
      <w:r>
        <w:rPr>
          <w:rFonts w:ascii="Segoe UI" w:hAnsi="Segoe UI" w:eastAsia="Segoe UI" w:cs="Segoe UI"/>
          <w:b/>
          <w:bCs/>
          <w:color w:val="44546A"/>
          <w:sz w:val="20"/>
          <w:szCs w:val="20"/>
          <w:lang w:val="en-US" w:eastAsia="en-US" w:bidi="en-US"/>
        </w:rPr>
        <w:t xml:space="preserve">About Rivencore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78" w:lineRule="auto"/>
        <w:rPr>
          <w:rFonts w:ascii="Segoe UI" w:hAnsi="Segoe UI" w:eastAsia="Segoe UI" w:cs="Segoe UI"/>
          <w:color w:val="000000"/>
          <w:sz w:val="20"/>
          <w:szCs w:val="20"/>
          <w:lang w:val="en-GB" w:eastAsia="en-GB" w:bidi="en-GB"/>
        </w:rPr>
      </w:pPr>
      <w:r>
        <w:rPr>
          <w:rFonts w:ascii="Segoe UI" w:hAnsi="Segoe UI" w:eastAsia="Segoe UI" w:cs="Segoe UI"/>
          <w:color w:val="000000"/>
          <w:sz w:val="20"/>
          <w:szCs w:val="20"/>
          <w:lang w:val="en-GB" w:eastAsia="en-GB" w:bidi="en-GB"/>
        </w:rPr>
        <w:t xml:space="preserve">Originally founded in 1915, Rivencore Global Solutions is a key Defence supplier with a reputation for excellence, dedicated to advancing global naval technology through innovative engineering and precision manufacturing.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78" w:lineRule="auto"/>
        <w:rPr>
          <w:rFonts w:ascii="Segoe UI" w:hAnsi="Segoe UI" w:eastAsia="Segoe UI" w:cs="Segoe UI"/>
          <w:color w:val="000000"/>
          <w:sz w:val="20"/>
          <w:szCs w:val="20"/>
          <w:lang w:val="en-GB" w:eastAsia="en-GB" w:bidi="en-GB"/>
        </w:rPr>
      </w:pPr>
      <w:r>
        <w:rPr>
          <w:rFonts w:ascii="Segoe UI" w:hAnsi="Segoe UI" w:eastAsia="Segoe UI" w:cs="Segoe UI"/>
          <w:color w:val="000000"/>
          <w:sz w:val="20"/>
          <w:szCs w:val="20"/>
          <w:lang w:val="en-GB" w:eastAsia="en-GB" w:bidi="en-GB"/>
        </w:rPr>
        <w:t xml:space="preserve">Our capabilities span advanced protection and enclosures, maritime sensors and shipboard systems, navigation, lighting, and visual landing aids – all designed to perform in the world’s most demanding environments providing environmental awareness, pilot assistance and other naval applications.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78" w:lineRule="auto"/>
        <w:rPr>
          <w:rFonts w:ascii="Segoe UI" w:hAnsi="Segoe UI" w:eastAsia="Segoe UI" w:cs="Segoe UI"/>
          <w:color w:val="000000"/>
          <w:sz w:val="20"/>
          <w:szCs w:val="20"/>
          <w:lang w:val="en-GB" w:eastAsia="en-GB" w:bidi="en-GB"/>
        </w:rPr>
      </w:pPr>
      <w:r>
        <w:rPr>
          <w:rFonts w:ascii="Segoe UI" w:hAnsi="Segoe UI" w:eastAsia="Segoe UI" w:cs="Segoe UI"/>
          <w:color w:val="000000"/>
          <w:sz w:val="20"/>
          <w:szCs w:val="20"/>
          <w:lang w:val="en-GB" w:eastAsia="en-GB" w:bidi="en-GB"/>
        </w:rPr>
        <w:t xml:space="preserve">We supply products that are in use in over 50 countries, often destined for continuous use where</w:t>
      </w:r>
      <w:r>
        <w:rPr>
          <w:rFonts w:ascii="Segoe UI" w:hAnsi="Segoe UI" w:eastAsia="Segoe UI" w:cs="Segoe UI"/>
          <w:color w:val="000000"/>
          <w:sz w:val="20"/>
          <w:szCs w:val="20"/>
          <w:lang w:val="en-US" w:eastAsia="en-US" w:bidi="en-US"/>
        </w:rPr>
        <w:t xml:space="preserve"> </w:t>
      </w:r>
      <w:r>
        <w:rPr>
          <w:rFonts w:ascii="Segoe UI" w:hAnsi="Segoe UI" w:eastAsia="Segoe UI" w:cs="Segoe UI"/>
          <w:color w:val="000000"/>
          <w:sz w:val="20"/>
          <w:szCs w:val="20"/>
          <w:lang w:val="en-GB" w:eastAsia="en-GB" w:bidi="en-GB"/>
        </w:rPr>
        <w:t xml:space="preserve">Mission-critical operation is essential</w:t>
      </w:r>
      <w:r>
        <w:rPr>
          <w:rFonts w:ascii="Segoe UI" w:hAnsi="Segoe UI" w:eastAsia="Segoe UI" w:cs="Segoe UI"/>
          <w:color w:val="000000"/>
          <w:sz w:val="20"/>
          <w:szCs w:val="20"/>
          <w:lang w:val="en-US" w:eastAsia="en-US" w:bidi="en-US"/>
        </w:rPr>
        <w:t xml:space="preserve">. O</w:t>
      </w:r>
      <w:r>
        <w:rPr>
          <w:rFonts w:ascii="Segoe UI" w:hAnsi="Segoe UI" w:eastAsia="Segoe UI" w:cs="Segoe UI"/>
          <w:color w:val="000000"/>
          <w:sz w:val="20"/>
          <w:szCs w:val="20"/>
          <w:lang w:val="en-GB" w:eastAsia="en-GB" w:bidi="en-GB"/>
        </w:rPr>
        <w:t xml:space="preserve">ur team </w:t>
      </w:r>
      <w:r>
        <w:rPr>
          <w:rFonts w:ascii="Segoe UI" w:hAnsi="Segoe UI" w:eastAsia="Segoe UI" w:cs="Segoe UI"/>
          <w:color w:val="000000"/>
          <w:sz w:val="20"/>
          <w:szCs w:val="20"/>
          <w:lang w:val="en-US" w:eastAsia="en-US" w:bidi="en-US"/>
        </w:rPr>
        <w:t xml:space="preserve">deliver </w:t>
      </w:r>
      <w:r>
        <w:rPr>
          <w:rFonts w:ascii="Segoe UI" w:hAnsi="Segoe UI" w:eastAsia="Segoe UI" w:cs="Segoe UI"/>
          <w:color w:val="000000"/>
          <w:sz w:val="20"/>
          <w:szCs w:val="20"/>
          <w:lang w:val="en-GB" w:eastAsia="en-GB" w:bidi="en-GB"/>
        </w:rPr>
        <w:t xml:space="preserve">cradle-to-grave support including installation, commissioning, training and repair</w:t>
      </w:r>
      <w:r>
        <w:rPr>
          <w:rFonts w:ascii="Segoe UI" w:hAnsi="Segoe UI" w:eastAsia="Segoe UI" w:cs="Segoe UI"/>
          <w:color w:val="000000"/>
          <w:sz w:val="20"/>
          <w:szCs w:val="20"/>
          <w:lang w:val="en-US" w:eastAsia="en-US" w:bidi="en-US"/>
        </w:rPr>
        <w:t xml:space="preserve"> and b</w:t>
      </w:r>
      <w:r>
        <w:rPr>
          <w:rFonts w:ascii="Segoe UI" w:hAnsi="Segoe UI" w:eastAsia="Segoe UI" w:cs="Segoe UI"/>
          <w:color w:val="000000"/>
          <w:sz w:val="20"/>
          <w:szCs w:val="20"/>
          <w:lang w:val="en-GB" w:eastAsia="en-GB" w:bidi="en-GB"/>
        </w:rPr>
        <w:t xml:space="preserve">y working closely with global navies and commercial shipbuilders, </w:t>
      </w:r>
      <w:r>
        <w:rPr>
          <w:rFonts w:ascii="Segoe UI" w:hAnsi="Segoe UI" w:eastAsia="Segoe UI" w:cs="Segoe UI"/>
          <w:color w:val="000000"/>
          <w:sz w:val="20"/>
          <w:szCs w:val="20"/>
          <w:lang w:val="en-US" w:eastAsia="en-US" w:bidi="en-US"/>
        </w:rPr>
        <w:t xml:space="preserve">design and produce</w:t>
      </w:r>
      <w:r>
        <w:rPr>
          <w:rFonts w:ascii="Segoe UI" w:hAnsi="Segoe UI" w:eastAsia="Segoe UI" w:cs="Segoe UI"/>
          <w:color w:val="000000"/>
          <w:sz w:val="20"/>
          <w:szCs w:val="20"/>
          <w:lang w:val="en-GB" w:eastAsia="en-GB" w:bidi="en-GB"/>
        </w:rPr>
        <w:t xml:space="preserve"> cutting-edge solutions</w:t>
      </w:r>
      <w:r>
        <w:rPr>
          <w:rFonts w:ascii="Segoe UI" w:hAnsi="Segoe UI" w:eastAsia="Segoe UI" w:cs="Segoe UI"/>
          <w:color w:val="000000"/>
          <w:sz w:val="20"/>
          <w:szCs w:val="20"/>
          <w:lang w:val="en-US" w:eastAsia="en-US" w:bidi="en-US"/>
        </w:rPr>
        <w:t xml:space="preserve"> </w:t>
      </w:r>
      <w:r>
        <w:rPr>
          <w:rFonts w:ascii="Segoe UI" w:hAnsi="Segoe UI" w:eastAsia="Segoe UI" w:cs="Segoe UI"/>
          <w:color w:val="000000"/>
          <w:sz w:val="20"/>
          <w:szCs w:val="20"/>
          <w:lang w:val="en-GB" w:eastAsia="en-GB" w:bidi="en-GB"/>
        </w:rPr>
        <w:t xml:space="preserve">that enhance operational efficiency and safety at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eastAsia="Segoe UI" w:cs="Segoe UI"/>
          <w:sz w:val="20"/>
          <w:szCs w:val="20"/>
          <w:lang w:val="en-US" w:eastAsia="en-US" w:bidi="en-US"/>
        </w:rPr>
      </w:pPr>
      <w:r>
        <w:rPr>
          <w:rFonts w:ascii="Segoe UI" w:hAnsi="Segoe UI" w:eastAsia="Segoe UI" w:cs="Segoe UI"/>
          <w:color w:val="000000"/>
          <w:sz w:val="20"/>
          <w:szCs w:val="20"/>
          <w:lang w:val="en-GB" w:eastAsia="en-GB" w:bidi="en-GB"/>
        </w:rPr>
        <w:t xml:space="preserve">As an employer we believe our people are the foundation of our success; their skill, commitment and curiosity drive everything we achieve. That’s why we offer competitive salary structures, internal growth and training opportunities and awards as well as a huge range of benefits – our staff retention speaks for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eastAsia="Segoe UI" w:cs="Segoe UI"/>
          <w:sz w:val="20"/>
          <w:szCs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eastAsia="Segoe UI" w:cs="Segoe UI"/>
          <w:b/>
          <w:bCs/>
          <w:sz w:val="20"/>
          <w:szCs w:val="20"/>
          <w:lang w:val="en-US" w:eastAsia="en-US" w:bidi="en-US"/>
        </w:rPr>
      </w:pPr>
    </w:p>
    <w:tbl>
      <w:tblPr>
        <w:tblW w:w="0" w:type="auto"/>
        <w:jc w:val="left"/>
        <w:tblInd w:w="0" w:type="dxa"/>
        <w:tblBorders>
          <w:top w:val="none"/>
          <w:left w:val="none"/>
          <w:bottom w:val="none"/>
          <w:right w:val="none"/>
          <w:insideH w:val="single" w:sz="4" w:space="0" w:color="5B9BD5"/>
          <w:insideV w:val="none"/>
        </w:tblBorders>
        <w:tblLayout w:type="fixed"/>
        <w:tblCellMar>
          <w:top w:w="113" w:type="dxa"/>
          <w:left w:w="28" w:type="dxa"/>
          <w:bottom w:w="113" w:type="dxa"/>
          <w:right w:w="108" w:type="dxa"/>
        </w:tblCellMar>
      </w:tblPr>
      <w:tblGrid>
        <w:gridCol w:w="1977"/>
        <w:gridCol w:w="7521"/>
      </w:tblGrid>
      <w:tr>
        <w:tc>
          <w:tcPr>
            <w:tcW w:w="197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eastAsia="Segoe UI" w:cs="Segoe UI"/>
                <w:b/>
                <w:bCs/>
                <w:color w:val="275D85"/>
                <w:sz w:val="20"/>
                <w:szCs w:val="20"/>
                <w:lang w:val="en-GB" w:eastAsia="en-GB" w:bidi="en-GB"/>
              </w:rPr>
            </w:pPr>
          </w:p>
        </w:tc>
        <w:tc>
          <w:tcPr>
            <w:tcW w:w="7521" w:type="dxa"/>
            <w:shd w:val="clear" w:color="auto" w:fill="FFFFFF"/>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78" w:lineRule="auto"/>
              <w:rPr>
                <w:rFonts w:ascii="Segoe UI" w:hAnsi="Segoe UI" w:eastAsia="Segoe UI" w:cs="Segoe UI"/>
                <w:color w:val="44546A"/>
                <w:sz w:val="20"/>
                <w:szCs w:val="20"/>
                <w:lang w:val="en-GB" w:eastAsia="en-GB" w:bidi="en-GB"/>
              </w:rPr>
            </w:pPr>
          </w:p>
        </w:tc>
      </w:tr>
      <w:tr>
        <w:tc>
          <w:tcPr>
            <w:tcW w:w="1977" w:type="dxa"/>
            <w:shd w:val="clear" w:color="auto" w:fill="auto"/>
            <w:vAlign w:val="top"/>
          </w:tcPr>
          <w:p>
            <w:pPr>
              <w:pStyle w:val="Subhead Blu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auto"/>
                <w:sz w:val="20"/>
                <w:szCs w:val="20"/>
                <w:lang w:val="en-GB" w:eastAsia="en-GB" w:bidi="en-GB"/>
              </w:rPr>
            </w:pPr>
            <w:r>
              <w:rPr>
                <w:sz w:val="20"/>
                <w:szCs w:val="20"/>
                <w:lang w:val="en-GB" w:eastAsia="en-GB" w:bidi="en-GB"/>
              </w:rPr>
              <w:t xml:space="preserve">Role</w:t>
              <w:br w:type="textWrapping"/>
            </w:r>
            <w:r>
              <w:rPr>
                <w:sz w:val="20"/>
                <w:szCs w:val="20"/>
                <w:lang w:val="en-GB" w:eastAsia="en-GB" w:bidi="en-GB"/>
              </w:rPr>
              <w:t xml:space="preserve">overview:</w:t>
            </w:r>
          </w:p>
        </w:tc>
        <w:tc>
          <w:tcPr>
            <w:tcW w:w="7521" w:type="dxa"/>
            <w:shd w:val="clear" w:color="auto" w:fill="auto"/>
            <w:vAlign w:val="top"/>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Segoe UI" w:hAnsi="Segoe UI" w:eastAsia="Segoe UI" w:cs="Segoe UI"/>
                <w:sz w:val="20"/>
                <w:szCs w:val="20"/>
                <w:lang w:val="en-GB" w:eastAsia="en-GB" w:bidi="en-GB"/>
              </w:rPr>
            </w:pPr>
            <w:r>
              <w:rPr>
                <w:rFonts w:ascii="Segoe UI" w:hAnsi="Segoe UI" w:eastAsia="Segoe UI" w:cs="Segoe UI"/>
                <w:sz w:val="20"/>
                <w:szCs w:val="20"/>
                <w:lang w:val="en-GB" w:eastAsia="en-GB" w:bidi="en-GB"/>
              </w:rPr>
              <w:t xml:space="preserve">The Systems Engineer serves as the technical authority responsible for the architecture, integration, certification, and lifecycle performance of complex product systems. The role supports all systems meeting rigorous design, safety, compliance and regulatory requirements while delivering to contractual obligations and strategic objectives. Undertake systems engineering and the production of project documentation for customer delivery projects, acting as the prime technical point of contact for the customer.</w:t>
            </w:r>
          </w:p>
        </w:tc>
      </w:tr>
      <w:tr>
        <w:trPr>
          <w:trHeight w:val="440" w:hRule="atLeast"/>
        </w:trPr>
        <w:tc>
          <w:tcPr>
            <w:tcW w:w="1977" w:type="dxa"/>
            <w:shd w:val="clear" w:color="auto" w:fill="auto"/>
            <w:vAlign w:val="top"/>
          </w:tcPr>
          <w:p>
            <w:pPr>
              <w:pStyle w:val="Subhead Blu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lang w:val="en-GB" w:eastAsia="en-GB" w:bidi="en-GB"/>
              </w:rPr>
            </w:pPr>
            <w:r>
              <w:rPr>
                <w:sz w:val="20"/>
                <w:szCs w:val="20"/>
                <w:lang w:val="en-GB" w:eastAsia="en-GB" w:bidi="en-GB"/>
              </w:rPr>
              <w:t xml:space="preserve">General Responsibilities</w:t>
            </w:r>
          </w:p>
        </w:tc>
        <w:tc>
          <w:tcPr>
            <w:tcW w:w="7521" w:type="dxa"/>
            <w:shd w:val="clear" w:color="auto" w:fill="auto"/>
            <w:vAlign w:val="top"/>
          </w:tcPr>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b/>
                <w:bCs/>
                <w:sz w:val="20"/>
                <w:szCs w:val="20"/>
                <w:lang w:val="en-GB" w:eastAsia="en-GB" w:bidi="en-GB"/>
              </w:rPr>
              <w:t xml:space="preserve">Technical Oversight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Support the maintenance of engineering governance frameworks in alignment with organisational and industry standards and best practices.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Support technical/design review boards (SDR, SRR, PDR, CDR, TRR, FDR).</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 Support and maintain system level requirements baselines and configuration changes.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Maintain product line risk ownership throughout the programme lifecycle.</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Systems Architecture &amp; Integration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Strong understanding of defence and industry compliance requirements. </w:t>
            </w:r>
            <w:r>
              <w:rPr>
                <w:rFonts w:ascii="Segoe UI" w:hAnsi="Segoe UI" w:eastAsia="Segoe UI" w:cs="Segoe UI"/>
                <w:b/>
                <w:bCs/>
                <w:sz w:val="20"/>
                <w:szCs w:val="20"/>
                <w:lang w:val="en-GB" w:eastAsia="en-GB" w:bidi="en-GB"/>
              </w:rPr>
              <w:t xml:space="preserve">Programme Delivery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Support end-to-end system architecture development and maintenance, inclusive of hardware, software, electronics, subsystems.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Ensure compliance.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Support control and compliance of documentation and system integration.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Ensure interoperability with new and legacy systems.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Support model-based systems engineering (MBSE) adoption and digital twin initiatives.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b/>
                <w:bCs/>
                <w:sz w:val="20"/>
                <w:szCs w:val="20"/>
                <w:lang w:val="en-GB" w:eastAsia="en-GB" w:bidi="en-GB"/>
              </w:rPr>
              <w:t xml:space="preserve">Compliance, Safety &amp; Security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Ensure compliance in accordance with but not exclusive to: International Traffic in Arms Regulations (ITAR), Cyber Essentials Plus.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Support hazard analysis and safety case development.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Support secure by design system architecture.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Support accreditation and certification authorities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Strong understanding of defence and industry compliance requirements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Programme Delivery</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Ensure project and programme on time delivery within budget.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Support and maintain change control measures.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Translate customer, organisational and industry requirements into executable baselines.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Support bid and proposal efforts with technical strategy, cost estimation, and risk analysis.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Ensure technical performance meets Statement of Work (SoW) and KPIs.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b/>
                <w:bCs/>
                <w:sz w:val="20"/>
                <w:szCs w:val="20"/>
                <w:lang w:val="en-GB" w:eastAsia="en-GB" w:bidi="en-GB"/>
              </w:rPr>
              <w:t xml:space="preserve">Cross-Functional Collaboration </w:t>
            </w:r>
          </w:p>
          <w:p>
            <w:pPr>
              <w:pStyle w:val="ListParagraph"/>
              <w:numPr>
                <w:ilvl w:val="1"/>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Ensure system designs are manufacturable, supportable, and cost-effective. Partner with Production Engineering to implement: Design for Excellence principles (DfX), Production readiness reviews (PRR).</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Support transition from prototype to production. • Support production-related technical issues. Verification, Validation &amp; Qualification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Support system verification strategies (test, analysis, inspection).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Oversee and support environmental and qualification testing.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Ensure compliance with applicable industry and defence qualification standards.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Support root cause investigations. Lifecycle &amp; Sustainment Strategy</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Support and maintain long-term sustainment and obsolescence management strategies.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Support in-service engineering, upgrades, and capability enhancements.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Ensure maintainability, reliability, and operational readiness targets are achieved.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Drive continuous improvement. Innovation &amp; Technology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Identify emerging technologies. • Support internal R&amp;D programmes.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Protect intellectual property and sensitive technical data. Team Leadership &amp; Development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Mentor and support the growth and development of engineering talent.</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Foster a culture of ownership, accountability and responsibility</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b/>
                <w:bCs/>
                <w:sz w:val="20"/>
                <w:szCs w:val="20"/>
                <w:lang w:val="en-GB" w:eastAsia="en-GB" w:bidi="en-GB"/>
              </w:rPr>
              <w:t xml:space="preserve">General Responsibilities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Conduct day to day activities as directed within the business unit and/or functions to support programme delivery.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Provide inputs on departmental policy, budgets and staff development.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To report to management any comments or suggestions which may improve efficiency, safety, and costs.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US" w:eastAsia="en-US" w:bidi="en-US"/>
              </w:rPr>
            </w:pPr>
            <w:r>
              <w:rPr>
                <w:rFonts w:ascii="Segoe UI" w:hAnsi="Segoe UI" w:eastAsia="Segoe UI" w:cs="Segoe UI"/>
                <w:sz w:val="20"/>
                <w:szCs w:val="20"/>
                <w:lang w:val="en-GB" w:eastAsia="en-GB" w:bidi="en-GB"/>
              </w:rPr>
              <w:t xml:space="preserve">Identify, justify, and implement process improvements to ensure design procedures are cost effective and aligned to business / product requirements. To carry out any other duties that may be delegated by management that are commensurate with the conduct of the company’s business.</w:t>
            </w:r>
          </w:p>
        </w:tc>
      </w:tr>
      <w:tr>
        <w:tc>
          <w:tcPr>
            <w:tcW w:w="1977" w:type="dxa"/>
            <w:shd w:val="clear" w:color="auto" w:fill="auto"/>
            <w:vAlign w:val="top"/>
          </w:tcPr>
          <w:p>
            <w:pPr>
              <w:pStyle w:val="Subhead Blu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lang w:val="en-GB" w:eastAsia="en-GB" w:bidi="en-GB"/>
              </w:rPr>
            </w:pPr>
            <w:r>
              <w:rPr>
                <w:sz w:val="20"/>
                <w:szCs w:val="20"/>
                <w:lang w:val="en-GB" w:eastAsia="en-GB" w:bidi="en-GB"/>
              </w:rPr>
              <w:t xml:space="preserve">Personal Attributes</w:t>
            </w:r>
          </w:p>
        </w:tc>
        <w:tc>
          <w:tcPr>
            <w:tcW w:w="7521" w:type="dxa"/>
            <w:shd w:val="clear" w:color="auto" w:fill="auto"/>
            <w:vAlign w:val="top"/>
          </w:tcPr>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GB" w:eastAsia="en-GB" w:bidi="en-GB"/>
              </w:rPr>
            </w:pPr>
            <w:r>
              <w:rPr>
                <w:rFonts w:ascii="Segoe UI" w:hAnsi="Segoe UI" w:eastAsia="Segoe UI" w:cs="Segoe UI"/>
                <w:sz w:val="20"/>
                <w:szCs w:val="20"/>
                <w:lang w:val="en-GB" w:eastAsia="en-GB" w:bidi="en-GB"/>
              </w:rPr>
              <w:t xml:space="preserve">Self-motivated and driven • Able to author and review technical documentation.</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Segoe UI" w:hAnsi="Segoe UI" w:eastAsia="Segoe UI" w:cs="Segoe UI"/>
                <w:sz w:val="20"/>
                <w:szCs w:val="20"/>
                <w:lang w:val="en-GB" w:eastAsia="en-GB" w:bidi="en-GB"/>
              </w:rPr>
            </w:pPr>
            <w:r>
              <w:rPr>
                <w:rFonts w:ascii="Segoe UI" w:hAnsi="Segoe UI" w:eastAsia="Segoe UI" w:cs="Segoe UI"/>
                <w:sz w:val="20"/>
                <w:szCs w:val="20"/>
                <w:lang w:val="en-GB" w:eastAsia="en-GB" w:bidi="en-GB"/>
              </w:rPr>
              <w:t xml:space="preserve">Excellent organisational, communication, presentation and personnel management skills. • Multi-level communicator. • Able to communicate technical information clearly to internal and external stakeholders. • Strong internal and external stakeholder management. • Ability to operate in complex and highly regulated environments. • Able to Prepare for and lead design reviews. • Eligibility for security clearance (SC). Knowledge and </w:t>
            </w:r>
          </w:p>
        </w:tc>
      </w:tr>
      <w:tr>
        <w:tc>
          <w:tcPr>
            <w:tcW w:w="1977" w:type="dxa"/>
            <w:shd w:val="clear" w:color="auto" w:fill="auto"/>
            <w:vAlign w:val="top"/>
          </w:tcPr>
          <w:p>
            <w:pPr>
              <w:pStyle w:val="Subhead Blu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lang w:val="en-GB" w:eastAsia="en-GB" w:bidi="en-GB"/>
              </w:rPr>
            </w:pPr>
            <w:r>
              <w:rPr>
                <w:sz w:val="20"/>
                <w:szCs w:val="20"/>
                <w:lang w:val="en-GB" w:eastAsia="en-GB" w:bidi="en-GB"/>
              </w:rPr>
              <w:t xml:space="preserve">Knowledge and Experience</w:t>
            </w:r>
          </w:p>
        </w:tc>
        <w:tc>
          <w:tcPr>
            <w:tcW w:w="7521" w:type="dxa"/>
            <w:shd w:val="clear" w:color="auto" w:fill="auto"/>
            <w:vAlign w:val="top"/>
          </w:tcPr>
          <w:p>
            <w:pPr>
              <w:pStyle w:val="NoSpacing"/>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sz w:val="20"/>
                <w:szCs w:val="20"/>
                <w:lang w:val="en-GB" w:eastAsia="en-GB" w:bidi="en-GB"/>
              </w:rPr>
            </w:pPr>
            <w:r>
              <w:rPr>
                <w:rFonts w:ascii="Segoe UI" w:hAnsi="Segoe UI" w:eastAsia="Segoe UI" w:cs="Segoe UI"/>
                <w:sz w:val="20"/>
                <w:szCs w:val="20"/>
                <w:lang w:val="en-GB" w:eastAsia="en-GB" w:bidi="en-GB"/>
              </w:rPr>
              <w:t xml:space="preserve">2+ years in defence engineering or related high-reliability industries. </w:t>
            </w:r>
          </w:p>
          <w:p>
            <w:pPr>
              <w:pStyle w:val="NoSpacing"/>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sz w:val="20"/>
                <w:szCs w:val="20"/>
                <w:lang w:val="en-GB" w:eastAsia="en-GB" w:bidi="en-GB"/>
              </w:rPr>
            </w:pPr>
            <w:r>
              <w:rPr>
                <w:rFonts w:ascii="Segoe UI" w:hAnsi="Segoe UI" w:eastAsia="Segoe UI" w:cs="Segoe UI"/>
                <w:sz w:val="20"/>
                <w:szCs w:val="20"/>
                <w:lang w:val="en-GB" w:eastAsia="en-GB" w:bidi="en-GB"/>
              </w:rPr>
              <w:t xml:space="preserve">Proven experience delivering complex defence programmes. </w:t>
            </w:r>
          </w:p>
          <w:p>
            <w:pPr>
              <w:pStyle w:val="NoSpacing"/>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sz w:val="20"/>
                <w:szCs w:val="20"/>
                <w:lang w:val="en-GB" w:eastAsia="en-GB" w:bidi="en-GB"/>
              </w:rPr>
            </w:pPr>
            <w:r>
              <w:rPr>
                <w:rFonts w:ascii="Segoe UI" w:hAnsi="Segoe UI" w:eastAsia="Segoe UI" w:cs="Segoe UI"/>
                <w:sz w:val="20"/>
                <w:szCs w:val="20"/>
                <w:lang w:val="en-GB" w:eastAsia="en-GB" w:bidi="en-GB"/>
              </w:rPr>
              <w:t xml:space="preserve">Experience working with government customers or prime contractors. </w:t>
            </w:r>
          </w:p>
          <w:p>
            <w:pPr>
              <w:pStyle w:val="NoSpacing"/>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sz w:val="20"/>
                <w:szCs w:val="20"/>
                <w:lang w:val="en-GB" w:eastAsia="en-GB" w:bidi="en-GB"/>
              </w:rPr>
            </w:pPr>
            <w:r>
              <w:rPr>
                <w:rFonts w:ascii="Segoe UI" w:hAnsi="Segoe UI" w:eastAsia="Segoe UI" w:cs="Segoe UI"/>
                <w:sz w:val="20"/>
                <w:szCs w:val="20"/>
                <w:lang w:val="en-GB" w:eastAsia="en-GB" w:bidi="en-GB"/>
              </w:rPr>
              <w:t xml:space="preserve">Demonstrated experience in classified programs (appropriate security clearance required). </w:t>
            </w:r>
          </w:p>
          <w:p>
            <w:pPr>
              <w:pStyle w:val="NoSpacing"/>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sz w:val="20"/>
                <w:szCs w:val="20"/>
                <w:lang w:val="en-GB" w:eastAsia="en-GB" w:bidi="en-GB"/>
              </w:rPr>
            </w:pPr>
            <w:r>
              <w:rPr>
                <w:rFonts w:ascii="Segoe UI" w:hAnsi="Segoe UI" w:eastAsia="Segoe UI" w:cs="Segoe UI"/>
                <w:sz w:val="20"/>
                <w:szCs w:val="20"/>
                <w:lang w:val="en-GB" w:eastAsia="en-GB" w:bidi="en-GB"/>
              </w:rPr>
              <w:t xml:space="preserve">Familiar with RS422, RS232, Ethernet. </w:t>
            </w:r>
          </w:p>
          <w:p>
            <w:pPr>
              <w:pStyle w:val="NoSpacing"/>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sz w:val="20"/>
                <w:szCs w:val="20"/>
                <w:lang w:val="en-GB" w:eastAsia="en-GB" w:bidi="en-GB"/>
              </w:rPr>
            </w:pPr>
            <w:r>
              <w:rPr>
                <w:rFonts w:ascii="Segoe UI" w:hAnsi="Segoe UI" w:eastAsia="Segoe UI" w:cs="Segoe UI"/>
                <w:sz w:val="20"/>
                <w:szCs w:val="20"/>
                <w:lang w:val="en-GB" w:eastAsia="en-GB" w:bidi="en-GB"/>
              </w:rPr>
              <w:t xml:space="preserve">Knowledge and application of product safety and compliance. </w:t>
            </w:r>
          </w:p>
          <w:p>
            <w:pPr>
              <w:pStyle w:val="NoSpacing"/>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sz w:val="20"/>
                <w:szCs w:val="20"/>
                <w:lang w:val="en-GB" w:eastAsia="en-GB" w:bidi="en-GB"/>
              </w:rPr>
            </w:pPr>
            <w:r>
              <w:rPr>
                <w:rFonts w:ascii="Segoe UI" w:hAnsi="Segoe UI" w:eastAsia="Segoe UI" w:cs="Segoe UI"/>
                <w:sz w:val="20"/>
                <w:szCs w:val="20"/>
                <w:lang w:val="en-GB" w:eastAsia="en-GB" w:bidi="en-GB"/>
              </w:rPr>
              <w:t xml:space="preserve">Knowledge and application of product development lifecycle management. </w:t>
            </w:r>
          </w:p>
          <w:p>
            <w:pPr>
              <w:pStyle w:val="NoSpacing"/>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sz w:val="20"/>
                <w:szCs w:val="20"/>
                <w:lang w:val="en-GB" w:eastAsia="en-GB" w:bidi="en-GB"/>
              </w:rPr>
            </w:pPr>
            <w:r>
              <w:rPr>
                <w:rFonts w:ascii="Segoe UI" w:hAnsi="Segoe UI" w:eastAsia="Segoe UI" w:cs="Segoe UI"/>
                <w:sz w:val="20"/>
                <w:szCs w:val="20"/>
                <w:lang w:val="en-GB" w:eastAsia="en-GB" w:bidi="en-GB"/>
              </w:rPr>
              <w:t xml:space="preserve">Solid understanding of root cause and countermeasures (RCCM) techniques. • Solid understanding and demonstrable experience of risk mitigation and   ALARP. </w:t>
            </w:r>
          </w:p>
          <w:p>
            <w:pPr>
              <w:pStyle w:val="NoSpacing"/>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sz w:val="20"/>
                <w:szCs w:val="20"/>
                <w:lang w:val="en-GB" w:eastAsia="en-GB" w:bidi="en-GB"/>
              </w:rPr>
            </w:pPr>
            <w:r>
              <w:rPr>
                <w:rFonts w:ascii="Segoe UI" w:hAnsi="Segoe UI" w:eastAsia="Segoe UI" w:cs="Segoe UI"/>
                <w:sz w:val="20"/>
                <w:szCs w:val="20"/>
                <w:lang w:val="en-GB" w:eastAsia="en-GB" w:bidi="en-GB"/>
              </w:rPr>
              <w:t xml:space="preserve">Solid understanding and demonstrable experience of undertaking design, safety and process FMEA. </w:t>
            </w:r>
          </w:p>
          <w:p>
            <w:pPr>
              <w:pStyle w:val="NoSpacing"/>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sz w:val="20"/>
                <w:szCs w:val="20"/>
                <w:lang w:val="en-GB" w:eastAsia="en-GB" w:bidi="en-GB"/>
              </w:rPr>
            </w:pPr>
            <w:r>
              <w:rPr>
                <w:rFonts w:ascii="Segoe UI" w:hAnsi="Segoe UI" w:eastAsia="Segoe UI" w:cs="Segoe UI"/>
                <w:sz w:val="20"/>
                <w:szCs w:val="20"/>
                <w:lang w:val="en-GB" w:eastAsia="en-GB" w:bidi="en-GB"/>
              </w:rPr>
              <w:t xml:space="preserve">Knowledge and experience of using Electrical design software (Solidworks Electrical/Draft sight/Eplan preferred) along with Product Data Management systems. </w:t>
            </w:r>
          </w:p>
          <w:p>
            <w:pPr>
              <w:pStyle w:val="NoSpacing"/>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sz w:val="20"/>
                <w:szCs w:val="20"/>
                <w:lang w:val="en-GB" w:eastAsia="en-GB" w:bidi="en-GB"/>
              </w:rPr>
            </w:pPr>
            <w:r>
              <w:rPr>
                <w:rFonts w:ascii="Segoe UI" w:hAnsi="Segoe UI" w:eastAsia="Segoe UI" w:cs="Segoe UI"/>
                <w:sz w:val="20"/>
                <w:szCs w:val="20"/>
                <w:lang w:val="en-GB" w:eastAsia="en-GB" w:bidi="en-GB"/>
              </w:rPr>
              <w:t xml:space="preserve">Experience of compiling and delivering Contract Data Requirements Lists.</w:t>
            </w:r>
          </w:p>
          <w:p>
            <w:pPr>
              <w:pStyle w:val="NoSpacing"/>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Segoe UI" w:hAnsi="Segoe UI" w:eastAsia="Segoe UI" w:cs="Segoe UI"/>
                <w:sz w:val="20"/>
                <w:szCs w:val="20"/>
                <w:lang w:val="en-GB" w:eastAsia="en-GB" w:bidi="en-GB"/>
              </w:rPr>
            </w:pPr>
            <w:r>
              <w:rPr>
                <w:rFonts w:ascii="Segoe UI" w:hAnsi="Segoe UI" w:eastAsia="Segoe UI" w:cs="Segoe UI"/>
                <w:sz w:val="20"/>
                <w:szCs w:val="20"/>
                <w:lang w:val="en-GB" w:eastAsia="en-GB" w:bidi="en-GB"/>
              </w:rPr>
              <w:t xml:space="preserve">Knowledge of Defence/Naval environmental standards advantageous, but not essential</w:t>
            </w:r>
          </w:p>
        </w:tc>
      </w:tr>
      <w:tr>
        <w:tc>
          <w:tcPr>
            <w:tcW w:w="1977" w:type="dxa"/>
            <w:shd w:val="clear" w:color="auto" w:fill="auto"/>
            <w:vAlign w:val="top"/>
          </w:tcPr>
          <w:p>
            <w:pPr>
              <w:pStyle w:val="Subhead Blu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lang w:val="en-GB" w:eastAsia="en-GB" w:bidi="en-GB"/>
              </w:rPr>
            </w:pPr>
            <w:r>
              <w:rPr>
                <w:sz w:val="20"/>
                <w:szCs w:val="20"/>
                <w:lang w:val="en-GB" w:eastAsia="en-GB" w:bidi="en-GB"/>
              </w:rPr>
              <w:t xml:space="preserve">Education and Qualifications</w:t>
            </w:r>
          </w:p>
        </w:tc>
        <w:tc>
          <w:tcPr>
            <w:tcW w:w="7521" w:type="dxa"/>
            <w:shd w:val="clear" w:color="auto" w:fill="auto"/>
            <w:vAlign w:val="top"/>
          </w:tcPr>
          <w:p>
            <w:pPr>
              <w:pStyle w:val="ListBullet"/>
              <w:numPr>
                <w:ilvl w:val="0"/>
                <w:numId w:val="4"/>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Segoe UI" w:hAnsi="Segoe UI" w:eastAsia="Segoe UI" w:cs="Segoe UI"/>
                <w:sz w:val="20"/>
                <w:szCs w:val="20"/>
                <w:lang w:val="en-GB" w:eastAsia="en-GB" w:bidi="en-GB"/>
              </w:rPr>
            </w:pPr>
            <w:r>
              <w:rPr>
                <w:rFonts w:ascii="Segoe UI" w:hAnsi="Segoe UI" w:eastAsia="Segoe UI" w:cs="Segoe UI"/>
                <w:sz w:val="20"/>
                <w:szCs w:val="20"/>
                <w:lang w:val="en-GB" w:eastAsia="en-GB" w:bidi="en-GB"/>
              </w:rPr>
              <w:t xml:space="preserve">Bachelor’s degree in systems, electrical, mechanical, software engineering, or related discipline. • Master’s degree preferred. • Chartered Engineer (CEng) or equivalent professional registration highly desirable.</w:t>
            </w:r>
          </w:p>
        </w:tc>
      </w:tr>
      <w:tr>
        <w:tc>
          <w:tcPr>
            <w:tcW w:w="197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eastAsia="Segoe UI" w:cs="Segoe UI"/>
                <w:color w:val="275D85"/>
                <w:sz w:val="20"/>
                <w:szCs w:val="20"/>
                <w:lang w:val="en-GB" w:eastAsia="en-GB" w:bidi="en-GB"/>
              </w:rPr>
            </w:pPr>
          </w:p>
        </w:tc>
        <w:tc>
          <w:tcPr>
            <w:tcW w:w="7521" w:type="dxa"/>
            <w:shd w:val="clear" w:color="auto" w:fill="auto"/>
            <w:vAlign w:val="top"/>
          </w:tcPr>
          <w:p>
            <w:pPr>
              <w:pStyle w:val="ListBullet"/>
              <w:numPr>
                <w:ilvl w:val="0"/>
                <w:numId w:val="0"/>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0"/>
              <w:rPr>
                <w:rFonts w:ascii="Segoe UI" w:hAnsi="Segoe UI" w:eastAsia="Segoe UI" w:cs="Segoe UI"/>
                <w:sz w:val="20"/>
                <w:szCs w:val="20"/>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egoe UI" w:hAnsi="Segoe UI" w:eastAsia="Segoe UI" w:cs="Segoe UI"/>
          <w:sz w:val="20"/>
          <w:szCs w:val="20"/>
          <w:lang w:val="en-GB" w:eastAsia="en-GB" w:bidi="en-GB"/>
        </w:rPr>
      </w:pPr>
    </w:p>
    <w:sectPr>
      <w:headerReference w:type="default" r:id="rId00012"/>
      <w:footerReference w:type="default" r:id="rId00013"/>
      <w:headerReference w:type="first" r:id="rId00014"/>
      <w:footerReference w:type="first" r:id="rId00015"/>
      <w:pgSz w:w="12240" w:h="15840"/>
      <w:pgMar w:top="1701" w:right="1440" w:bottom="1530" w:left="1440" w:header="720" w:footer="431"/>
      <w:titlePg/>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Segoe UI">
    <w:panose1 w:val="020B0502040204020203"/>
    <w:charset w:val="00"/>
    <w:family w:val="swiss"/>
    <w:pitch w:val="variable"/>
    <w:sig w:usb0="E4002EFF" w:usb1="C000E47F" w:usb2="00000009" w:usb3="00000000" w:csb0="200001FF" w:csb1="00000000"/>
  </w:font>
  <w:font w:name="Calibri Light">
    <w:panose1 w:val="020F0302020204030204"/>
    <w:charset w:val="00"/>
    <w:family w:val="swiss"/>
    <w:pitch w:val="variable"/>
    <w:sig w:usb0="E0002AFF" w:usb1="C000247B" w:usb2="00000009" w:usb3="00000000" w:csb0="200001FF" w:csb1="00000000"/>
  </w:font>
  <w:font w:name="Verdana">
    <w:panose1 w:val="020B0604030504040204"/>
    <w:charset w:val="00"/>
    <w:family w:val="swiss"/>
    <w:pitch w:val="variable"/>
    <w:sig w:usb0="A00006FF" w:usb1="4000205B" w:usb2="00000010" w:usb3="00000000" w:csb0="2000019F" w:csb1="00000000"/>
  </w:font>
  <w:font w:name="Cambria">
    <w:panose1 w:val="02040503050406030204"/>
    <w:charset w:val="00"/>
    <w:family w:val="roman"/>
    <w:pitch w:val="variable"/>
    <w:sig w:usb0="E00006FF" w:usb1="420024FF" w:usb2="02000000" w:usb3="00000000" w:csb0="2000019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rPr>
        <w:lang w:val="en-US" w:eastAsia="en-US" w:bidi="en-US"/>
      </w:rPr>
    </w:pPr>
    <w:r>
      <w:rPr>
        <w:lang w:val="en-US" w:eastAsia="en-US" w:bidi="en-US"/>
      </w:rPr>
      <w:t xml:space="preserve">HR268.033.JD 	</w:t>
    </w:r>
    <w:sdt>
      <w:sdtPr>
        <w:id w:val="98381352"/>
        <w:docPartObj>
          <w:docPartGallery w:val="Page Numbers (Top of Page)"/>
          <w:docPartUnique/>
        </w:docPartObj>
      </w:sdtPr>
      <w:sdtEndPr/>
      <w:sdtContent>
        <w:r>
          <w:rPr>
            <w:lang w:val="en-US" w:eastAsia="en-US" w:bidi="en-US"/>
          </w:rPr>
          <w:t xml:space="preserve">Page </w:t>
        </w:r>
      </w:sdtContent>
    </w:sdt>
    <w:r>
      <w:rPr>
        <w:b/>
        <w:bCs/>
        <w:sz w:val="24"/>
        <w:szCs w:val="24"/>
        <w:lang w:val="en-US" w:eastAsia="en-US" w:bidi="en-US"/>
      </w:rPr>
      <w:fldChar w:fldCharType="begin"/>
    </w:r>
    <w:r>
      <w:rPr>
        <w:b/>
        <w:bCs/>
        <w:sz w:val="24"/>
        <w:szCs w:val="24"/>
        <w:lang w:val="en-US" w:eastAsia="en-US" w:bidi="en-US"/>
      </w:rPr>
      <w:instrText xml:space="preserve"> PAGE \* Arabic \* MERGEFORMAT </w:instrText>
    </w:r>
    <w:r>
      <w:rPr>
        <w:b/>
        <w:bCs/>
        <w:sz w:val="24"/>
        <w:szCs w:val="24"/>
        <w:lang w:val="en-US" w:eastAsia="en-US" w:bidi="en-US"/>
      </w:rPr>
      <w:fldChar w:fldCharType="separate"/>
    </w:r>
    <w:r>
      <w:rPr>
        <w:b/>
        <w:bCs/>
        <w:sz w:val="24"/>
        <w:szCs w:val="24"/>
        <w:lang w:val="en-US" w:eastAsia="en-US" w:bidi="en-US"/>
      </w:rPr>
      <w:t xml:space="preserve">2</w:t>
    </w:r>
    <w:r>
      <w:rPr>
        <w:lang w:val="en-US" w:eastAsia="en-US" w:bidi="en-US"/>
      </w:rPr>
      <w:fldChar w:fldCharType="end"/>
    </w:r>
    <w:r>
      <w:rPr>
        <w:lang w:val="en-US" w:eastAsia="en-US" w:bidi="en-US"/>
      </w:rPr>
      <w:t xml:space="preserve"> of </w:t>
    </w:r>
    <w:r>
      <w:rPr>
        <w:b/>
        <w:bCs/>
        <w:sz w:val="24"/>
        <w:szCs w:val="24"/>
        <w:lang w:val="en-US" w:eastAsia="en-US" w:bidi="en-US"/>
      </w:rPr>
      <w:fldChar w:fldCharType="begin"/>
    </w:r>
    <w:r>
      <w:rPr>
        <w:b/>
        <w:bCs/>
        <w:sz w:val="24"/>
        <w:szCs w:val="24"/>
        <w:lang w:val="en-US" w:eastAsia="en-US" w:bidi="en-US"/>
      </w:rPr>
      <w:instrText xml:space="preserve"> NUMPAGES \* Arabic \* MERGEFORMAT </w:instrText>
    </w:r>
    <w:r>
      <w:rPr>
        <w:b/>
        <w:bCs/>
        <w:sz w:val="24"/>
        <w:szCs w:val="24"/>
        <w:lang w:val="en-US" w:eastAsia="en-US" w:bidi="en-US"/>
      </w:rPr>
      <w:fldChar w:fldCharType="separate"/>
    </w:r>
    <w:r>
      <w:rPr>
        <w:b/>
        <w:bCs/>
        <w:sz w:val="24"/>
        <w:szCs w:val="24"/>
        <w:lang w:val="en-US" w:eastAsia="en-US" w:bidi="en-US"/>
      </w:rPr>
      <w:t xml:space="preserve">4</w:t>
    </w:r>
    <w:r>
      <w:rPr>
        <w:lang w:val="en-US" w:eastAsia="en-US" w:bidi="en-US"/>
      </w:rPr>
      <w:fldChar w:fldCharType="end"/>
    </w:r>
    <w:r>
      <w:rPr>
        <w:lang w:val="en-US" w:eastAsia="en-US" w:bidi="en-US"/>
      </w:rPr>
      <w:t xml:space="preserve">	Issue 8.0</w:t>
    </w:r>
  </w:p>
  <w:p>
    <w:pPr>
      <w:pStyle w:val="Footer"/>
      <w:rPr>
        <w:lang w:val="en-US" w:eastAsia="en-US" w:bidi="en-US"/>
      </w:rPr>
    </w:pPr>
  </w:p>
</w:ftr>
</file>

<file path=word/footer0001_first.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Normal]"/>
      <w:rPr>
        <w:sz w:val="1"/>
        <w:szCs w:val="1"/>
      </w:rPr>
    </w:pP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clear" w:pos="4680"/>
        <w:tab w:val="left" w:pos="7666"/>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rPr>
        <w:rFonts w:ascii="Segoe UI" w:hAnsi="Segoe UI" w:eastAsia="Segoe UI" w:cs="Segoe UI"/>
        <w:color w:val="275D85"/>
        <w:sz w:val="24"/>
        <w:szCs w:val="24"/>
        <w:lang w:val="en-US" w:eastAsia="en-US" w:bidi="en-US"/>
      </w:rPr>
    </w:pPr>
    <w:r>
      <w:drawing>
        <wp:anchor distT="0" distB="0" distL="114300" distR="114300" simplePos="0" relativeHeight="251659264" behindDoc="1" locked="0" layoutInCell="1" hidden="0" allowOverlap="1">
          <wp:simplePos x="0" y="0"/>
          <wp:positionH relativeFrom="column">
            <wp:posOffset>4872355</wp:posOffset>
          </wp:positionH>
          <wp:positionV relativeFrom="paragraph">
            <wp:posOffset>0</wp:posOffset>
          </wp:positionV>
          <wp:extent cx="1581150" cy="374015"/>
          <wp:wrapNone/>
          <wp:docPr id="1" name="Graphic 1"/>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7">
                    <a:extLst>
                      <a:ext uri="{96DAC541-7B7A-43D3-8B79-37D633B846F1}">
                        <asvg:svgBlip xmlns:asvg="http://schemas.microsoft.com/office/drawing/2016/SVG/main" r:embed="rId00006"/>
                      </a:ext>
                    </a:extLst>
                  </a:blip>
                  <a:stretch>
                    <a:fillRect/>
                  </a:stretch>
                </pic:blipFill>
                <pic:spPr>
                  <a:xfrm>
                    <a:off x="0" y="0"/>
                    <a:ext cx="1581150" cy="374015"/>
                  </a:xfrm>
                  <a:prstGeom prst="rect">
                    <a:avLst/>
                  </a:prstGeom>
                </pic:spPr>
              </pic:pic>
            </a:graphicData>
          </a:graphic>
        </wp:anchor>
      </w:drawing>
    </w:r>
    <w:r>
      <w:rPr>
        <w:rFonts w:ascii="Segoe UI" w:hAnsi="Segoe UI" w:eastAsia="Segoe UI" w:cs="Segoe UI"/>
        <w:color w:val="275D85"/>
        <w:sz w:val="24"/>
        <w:szCs w:val="24"/>
        <w:lang w:val="en-US" w:eastAsia="en-US" w:bidi="en-US"/>
      </w:rPr>
      <w:t xml:space="preserve">JOB DESCRIPTION 	</w:t>
    </w:r>
  </w:p>
</w:hdr>
</file>

<file path=word/header0001_first.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rPr>
        <w:lang w:val="en-US" w:eastAsia="en-US" w:bidi="en-US"/>
      </w:rPr>
    </w:pPr>
    <w:r>
      <mc:AlternateContent>
        <mc:Choice Requires="wps">
          <w:drawing>
            <wp:anchor distT="0" distB="0" distL="114300" distR="114300" simplePos="0" relativeHeight="251662336" behindDoc="1" locked="0" layoutInCell="1" hidden="0" allowOverlap="1">
              <wp:simplePos x="0" y="0"/>
              <wp:positionH relativeFrom="column">
                <wp:posOffset>-906775</wp:posOffset>
              </wp:positionH>
              <wp:positionV relativeFrom="paragraph">
                <wp:posOffset>1774837</wp:posOffset>
              </wp:positionV>
              <wp:extent cx="7940676" cy="3016249"/>
              <wp:wrapNone/>
              <wp:docPr id="2" name="Rectangle 3"/>
              <a:graphic xmlns:a="http://schemas.openxmlformats.org/drawingml/2006/main">
                <a:graphicData uri="http://schemas.microsoft.com/office/word/2010/wordprocessingShape">
                  <wps:wsp>
                    <wps:cNvSpPr/>
                    <wps:spPr>
                      <a:xfrm>
                        <a:off x="0" y="0"/>
                        <a:ext cx="7940676" cy="3016249"/>
                      </a:xfrm>
                      <a:prstGeom prst="rect"/>
                      <a:solidFill>
                        <a:srgbClr val="DEEBF6"/>
                      </a:solidFill>
                      <a:ln w="12700">
                        <a:solidFill>
                          <a:srgbClr val="FFFFFF">
                            <a:alpha val="0"/>
                          </a:srgbClr>
                        </a:solidFill>
                      </a:ln>
                    </wps:spPr>
                    <wps:bodyPr/>
                    <a:extLst>
                      <a:ext uri="{A2A0BA46-8DB7-4952-BFCE-B747086F0524}">
                        <tx19:NetControl tx23:val="drawing" tx23:pict="rId00008"/>
                      </a:ext>
                    </a:extLst>
                  </wps:wsp>
                </a:graphicData>
              </a:graphic>
            </wp:anchor>
          </w:drawing>
        </mc:Choice>
      </mc:AlternateContent>
    </w:r>
    <w:r>
      <mc:AlternateContent>
        <mc:Choice Requires="wps">
          <w:drawing>
            <wp:anchor distT="0" distB="0" distL="114300" distR="114300" simplePos="0" relativeHeight="251660288" behindDoc="1" locked="0" layoutInCell="1" hidden="0" allowOverlap="1">
              <wp:simplePos x="0" y="0"/>
              <wp:positionH relativeFrom="column">
                <wp:posOffset>-906140</wp:posOffset>
              </wp:positionH>
              <wp:positionV relativeFrom="paragraph">
                <wp:posOffset>6352</wp:posOffset>
              </wp:positionV>
              <wp:extent cx="7940676" cy="2225404"/>
              <wp:wrapNone/>
              <wp:docPr id="3" name="_tx_id_1_Rectangle 3"/>
              <a:graphic xmlns:a="http://schemas.openxmlformats.org/drawingml/2006/main">
                <a:graphicData uri="http://schemas.microsoft.com/office/word/2010/wordprocessingShape">
                  <wps:wsp>
                    <wps:cNvSpPr/>
                    <wps:spPr>
                      <a:xfrm>
                        <a:off x="0" y="0"/>
                        <a:ext cx="7940676" cy="2225404"/>
                      </a:xfrm>
                      <a:prstGeom prst="rect"/>
                      <a:solidFill>
                        <a:srgbClr val="F2F2F2"/>
                      </a:solidFill>
                      <a:ln w="12700">
                        <a:solidFill>
                          <a:srgbClr val="FFFFFF">
                            <a:alpha val="0"/>
                          </a:srgbClr>
                        </a:solidFill>
                      </a:ln>
                    </wps:spPr>
                    <wps:bodyPr/>
                    <a:extLst>
                      <a:ext uri="{A2A0BA46-8DB7-4952-BFCE-B747086F0524}">
                        <tx19:NetControl tx23:val="drawing" tx23:pict="rId00009"/>
                      </a:ext>
                    </a:extLst>
                  </wps:wsp>
                </a:graphicData>
              </a:graphic>
            </wp:anchor>
          </w:drawing>
        </mc:Choice>
      </mc:AlternateContent>
    </w:r>
    <w:r>
      <w:drawing>
        <wp:anchor distT="0" distB="0" distL="114300" distR="114300" simplePos="0" relativeHeight="251661312" behindDoc="1" locked="0" layoutInCell="1" hidden="0" allowOverlap="1">
          <wp:simplePos x="0" y="0"/>
          <wp:positionH relativeFrom="column">
            <wp:posOffset>4871720</wp:posOffset>
          </wp:positionH>
          <wp:positionV relativeFrom="paragraph">
            <wp:posOffset>0</wp:posOffset>
          </wp:positionV>
          <wp:extent cx="1581150" cy="374015"/>
          <wp:wrapNone/>
          <wp:docPr id="4" name="_tx_id_2_Graphic 1"/>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11">
                    <a:extLst>
                      <a:ext uri="{96DAC541-7B7A-43D3-8B79-37D633B846F1}">
                        <asvg:svgBlip xmlns:asvg="http://schemas.microsoft.com/office/drawing/2016/SVG/main" r:embed="rId00010"/>
                      </a:ext>
                    </a:extLst>
                  </a:blip>
                  <a:stretch>
                    <a:fillRect/>
                  </a:stretch>
                </pic:blipFill>
                <pic:spPr>
                  <a:xfrm>
                    <a:off x="0" y="0"/>
                    <a:ext cx="1581150" cy="374015"/>
                  </a:xfrm>
                  <a:prstGeom prst="rect">
                    <a:avLst/>
                  </a:prstGeom>
                </pic:spPr>
              </pic:pic>
            </a:graphicData>
          </a:graphic>
        </wp:anchor>
      </w:drawing>
    </w:r>
    <w:r>
      <w:rPr>
        <w:lang w:val="en-US" w:eastAsia="en-US" w:bidi="en-US"/>
      </w:rPr>
      <w:t xml:space="preserve">JOB DESCRIPTION</w:t>
    </w:r>
  </w:p>
</w:hdr>
</file>

<file path=word/numbering.xml><?xml version="1.0" encoding="utf-8"?>
<w:numbering xmlns:w="http://schemas.openxmlformats.org/wordprocessingml/2006/main">
  <w:abstractNum w:abstractNumId="0">
    <w:multiLevelType w:val="singleLevel"/>
    <w:lvl w:ilvl="0">
      <w:start w:val="1"/>
      <w:numFmt w:val="bullet"/>
      <w:pStyle w:val="List Bullet"/>
      <w:suff w:val="tab"/>
      <w:lvlText w:val=""/>
      <w:pPr>
        <w:ind w:left="360" w:hanging="360"/>
        <w:tabs>
          <w:tab w:val="num" w:pos="360"/>
        </w:tabs>
      </w:pPr>
      <w:rPr>
        <w:rFonts w:hint="default" w:ascii="Symbol" w:hAnsi="Symbol" w:eastAsia="Symbol" w:cs="Symbol"/>
        <w:b w:val="off"/>
        <w:i w:val="off"/>
        <w:strike w:val="off"/>
        <w:color w:val="auto"/>
        <w:position w:val="0"/>
        <w:sz w:val="22"/>
        <w:u w:val="none"/>
        <w:shd w:val="clear" w:color="auto" w:fill="auto"/>
      </w:rPr>
    </w:lvl>
  </w:abstractNum>
  <w:abstractNum w:abstractNumId="1">
    <w:multiLevelType w:val="multilevel"/>
    <w:lvl w:ilvl="0">
      <w:start w:val="1"/>
      <w:numFmt w:val="bullet"/>
      <w:suff w:val="tab"/>
      <w:lvlText w:val="•"/>
      <w:pPr>
        <w:ind w:left="720" w:hanging="360"/>
        <w:tabs>
          <w:tab w:val="num" w:pos="720"/>
        </w:tabs>
      </w:pPr>
      <w:rPr>
        <w:rFonts w:hint="default" w:ascii="Cambria" w:hAnsi="Cambria" w:eastAsia="Cambria" w:cs="Cambria"/>
        <w:b w:val="on"/>
        <w:i w:val="off"/>
        <w:strike w:val="off"/>
        <w:color w:val="auto"/>
        <w:position w:val="0"/>
        <w:sz w:val="20"/>
        <w:u w:val="none"/>
        <w:shd w:val="clear" w:color="auto" w:fill="auto"/>
      </w:rPr>
    </w:lvl>
    <w:lvl w:ilvl="1">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0"/>
        <w:u w:val="none"/>
        <w:shd w:val="clear" w:color="auto" w:fill="auto"/>
      </w:rPr>
    </w:lvl>
    <w:lvl w:ilvl="2">
      <w:start w:val="1"/>
      <w:numFmt w:val="bullet"/>
      <w:suff w:val="tab"/>
      <w:lvlText w:val=""/>
      <w:pPr>
        <w:ind w:left="1080" w:hanging="360"/>
        <w:tabs>
          <w:tab w:val="num" w:pos="1080"/>
        </w:tabs>
      </w:pPr>
    </w:lvl>
    <w:lvl w:ilvl="3">
      <w:start w:val="1"/>
      <w:numFmt w:val="bullet"/>
      <w:suff w:val="tab"/>
      <w:lvlText w:val=""/>
      <w:pPr>
        <w:ind w:left="1440" w:hanging="360"/>
        <w:tabs>
          <w:tab w:val="num" w:pos="1440"/>
        </w:tabs>
      </w:pPr>
    </w:lvl>
    <w:lvl w:ilvl="4">
      <w:start w:val="1"/>
      <w:numFmt w:val="bullet"/>
      <w:suff w:val="tab"/>
      <w:lvlText w:val=""/>
      <w:pPr>
        <w:ind w:left="1800" w:hanging="360"/>
        <w:tabs>
          <w:tab w:val="num" w:pos="1800"/>
        </w:tabs>
      </w:pPr>
    </w:lvl>
    <w:lvl w:ilvl="5">
      <w:start w:val="1"/>
      <w:numFmt w:val="bullet"/>
      <w:suff w:val="tab"/>
      <w:lvlText w:val=""/>
      <w:pPr>
        <w:ind w:left="2160" w:hanging="360"/>
        <w:tabs>
          <w:tab w:val="num" w:pos="2160"/>
        </w:tabs>
      </w:pPr>
    </w:lvl>
    <w:lvl w:ilvl="6">
      <w:start w:val="1"/>
      <w:numFmt w:val="bullet"/>
      <w:suff w:val="tab"/>
      <w:lvlText w:val=""/>
      <w:pPr>
        <w:ind w:left="2520" w:hanging="360"/>
        <w:tabs>
          <w:tab w:val="num" w:pos="2520"/>
        </w:tabs>
      </w:pPr>
    </w:lvl>
    <w:lvl w:ilvl="7">
      <w:start w:val="1"/>
      <w:numFmt w:val="bullet"/>
      <w:suff w:val="tab"/>
      <w:lvlText w:val=""/>
      <w:pPr>
        <w:ind w:left="2880" w:hanging="360"/>
        <w:tabs>
          <w:tab w:val="num" w:pos="2880"/>
        </w:tabs>
      </w:pPr>
    </w:lvl>
    <w:lvl w:ilvl="8">
      <w:start w:val="1"/>
      <w:numFmt w:val="bullet"/>
      <w:suff w:val="tab"/>
      <w:lvlText w:val=""/>
      <w:pPr>
        <w:ind w:left="3240" w:hanging="360"/>
        <w:tabs>
          <w:tab w:val="num" w:pos="3240"/>
        </w:tabs>
      </w:pPr>
    </w:lvl>
  </w:abstractNum>
  <w:abstractNum w:abstractNumId="2">
    <w:multiLevelType w:val="singleLevel"/>
    <w:lvl w:ilvl="0">
      <w:start w:val="1"/>
      <w:numFmt w:val="bullet"/>
      <w:suff w:val="tab"/>
      <w:lvlText w:val="•"/>
      <w:pPr>
        <w:ind w:left="720" w:hanging="360"/>
        <w:tabs>
          <w:tab w:val="num" w:pos="720"/>
        </w:tabs>
      </w:pPr>
      <w:rPr>
        <w:rFonts w:hint="default" w:ascii="Cambria" w:hAnsi="Cambria" w:eastAsia="Cambria" w:cs="Cambria"/>
        <w:b w:val="off"/>
        <w:i w:val="off"/>
        <w:strike w:val="off"/>
        <w:color w:val="auto"/>
        <w:position w:val="0"/>
        <w:sz w:val="20"/>
        <w:u w:val="none"/>
        <w:shd w:val="clear" w:color="auto" w:fill="auto"/>
      </w:rPr>
    </w:lvl>
  </w:abstractNum>
  <w:abstractNum w:abstractNumId="3">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0"/>
        <w:u w:val="none"/>
        <w:shd w:val="clear" w:color="auto" w:fill="auto"/>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US" w:eastAsia="en-US" w:bidi="en-US"/>
    </w:rPr>
  </w:style>
  <w:style w:type="paragraph" w:styleId="Header">
    <w:name w:val="header"/>
    <w:basedOn w:val="Normal"/>
    <w:next w:val="Header"/>
    <w:qFormat/>
    <w:pPr>
      <w:tabs>
        <w:tab w:val="center" w:pos="4680"/>
        <w:tab w:val="right" w:pos="9360"/>
      </w:tabs>
    </w:pPr>
    <w:rPr>
      <w:lang w:val="en-US" w:eastAsia="en-US" w:bidi="en-US"/>
    </w:rPr>
  </w:style>
  <w:style w:type="paragraph" w:styleId="Footer">
    <w:name w:val="footer"/>
    <w:basedOn w:val="Normal"/>
    <w:next w:val="Footer"/>
    <w:qFormat/>
    <w:pPr>
      <w:tabs>
        <w:tab w:val="center" w:pos="4680"/>
        <w:tab w:val="right" w:pos="9360"/>
      </w:tabs>
    </w:pPr>
    <w:rPr>
      <w:lang w:val="en-US" w:eastAsia="en-US" w:bidi="en-US"/>
    </w:rPr>
  </w:style>
  <w:style w:type="paragraph" w:styleId="Subhead Blue" w:customStyle="1">
    <w:name w:val="Subhead Blue"/>
    <w:basedOn w:val="Normal"/>
    <w:next w:val="Subhead Blue"/>
    <w:qFormat/>
    <w:pPr/>
    <w:rPr>
      <w:rFonts w:ascii="Segoe UI" w:hAnsi="Segoe UI" w:eastAsia="Segoe UI" w:cs="Segoe UI"/>
      <w:b/>
      <w:bCs/>
      <w:color w:val="5B9BD5"/>
      <w:sz w:val="24"/>
      <w:szCs w:val="24"/>
      <w:lang w:val="en-GB" w:eastAsia="en-GB" w:bidi="en-GB"/>
    </w:rPr>
  </w:style>
  <w:style w:type="paragraph" w:styleId="ListParagraph">
    <w:name w:val="List Paragraph"/>
    <w:basedOn w:val="Normal"/>
    <w:next w:val="ListParagraph"/>
    <w:qFormat/>
    <w:pPr>
      <w:ind w:left="720"/>
    </w:pPr>
    <w:rPr>
      <w:lang w:val="en-US" w:eastAsia="en-US" w:bidi="en-US"/>
    </w:rPr>
  </w:style>
  <w:style w:type="paragraph" w:styleId="ListBullet">
    <w:name w:val="List Bullet"/>
    <w:basedOn w:val="Normal"/>
    <w:next w:val="ListBullet"/>
    <w:qFormat/>
    <w:pPr>
      <w:numPr>
        <w:ilvl w:val="0"/>
        <w:numId w:val="1"/>
      </w:numPr>
      <w:tabs>
        <w:tab w:val="left" w:pos="360"/>
      </w:tabs>
      <w:spacing w:after="200" w:line="276" w:lineRule="auto"/>
      <w:ind w:left="360" w:hanging="360"/>
    </w:pPr>
    <w:rPr>
      <w:lang w:val="en-US" w:eastAsia="en-US" w:bidi="en-US"/>
    </w:rPr>
  </w:style>
  <w:style w:type="paragraph" w:styleId="Heading1">
    <w:name w:val="heading 1"/>
    <w:basedOn w:val="Normal"/>
    <w:next w:val="Normal"/>
    <w:qFormat/>
    <w:pPr>
      <w:keepNext/>
      <w:keepLines/>
      <w:spacing w:before="400" w:after="40"/>
      <w:outlineLvl w:val="0"/>
    </w:pPr>
    <w:rPr>
      <w:rFonts w:ascii="Calibri Light" w:hAnsi="Calibri Light" w:eastAsia="Calibri Light" w:cs="Calibri Light"/>
      <w:color w:val="1F4E79"/>
      <w:sz w:val="36"/>
      <w:szCs w:val="36"/>
      <w:lang w:val="en-US" w:eastAsia="en-US" w:bidi="en-US"/>
    </w:rPr>
  </w:style>
  <w:style w:type="paragraph" w:styleId="TOCHeading">
    <w:name w:val="TOC Heading"/>
    <w:basedOn w:val="Heading1"/>
    <w:next w:val="Normal"/>
    <w:qFormat/>
    <w:pPr>
      <w:outlineLvl w:val="9"/>
    </w:pPr>
    <w:rPr>
      <w:lang w:val="en-US" w:eastAsia="en-US" w:bidi="en-US"/>
    </w:rPr>
  </w:style>
  <w:style w:type="paragraph" w:styleId="Heading2">
    <w:name w:val="heading 2"/>
    <w:basedOn w:val="Normal"/>
    <w:next w:val="Normal"/>
    <w:qFormat/>
    <w:pPr>
      <w:keepNext/>
      <w:keepLines/>
      <w:spacing w:before="40"/>
      <w:outlineLvl w:val="1"/>
    </w:pPr>
    <w:rPr>
      <w:rFonts w:ascii="Calibri Light" w:hAnsi="Calibri Light" w:eastAsia="Calibri Light" w:cs="Calibri Light"/>
      <w:color w:val="2E75B5"/>
      <w:sz w:val="32"/>
      <w:szCs w:val="32"/>
      <w:lang w:val="en-US" w:eastAsia="en-US" w:bidi="en-US"/>
    </w:rPr>
  </w:style>
  <w:style w:type="paragraph" w:styleId="Heading3">
    <w:name w:val="heading 3"/>
    <w:basedOn w:val="Normal"/>
    <w:next w:val="Normal"/>
    <w:qFormat/>
    <w:pPr>
      <w:keepNext/>
      <w:keepLines/>
      <w:spacing w:before="40"/>
      <w:outlineLvl w:val="2"/>
    </w:pPr>
    <w:rPr>
      <w:rFonts w:ascii="Calibri Light" w:hAnsi="Calibri Light" w:eastAsia="Calibri Light" w:cs="Calibri Light"/>
      <w:color w:val="2E75B5"/>
      <w:sz w:val="28"/>
      <w:szCs w:val="28"/>
      <w:lang w:val="en-US" w:eastAsia="en-US" w:bidi="en-US"/>
    </w:rPr>
  </w:style>
  <w:style w:type="paragraph" w:styleId="Heading4">
    <w:name w:val="heading 4"/>
    <w:basedOn w:val="Normal"/>
    <w:next w:val="Normal"/>
    <w:qFormat/>
    <w:pPr>
      <w:keepNext/>
      <w:keepLines/>
      <w:spacing w:before="40"/>
      <w:outlineLvl w:val="3"/>
    </w:pPr>
    <w:rPr>
      <w:rFonts w:ascii="Calibri Light" w:hAnsi="Calibri Light" w:eastAsia="Calibri Light" w:cs="Calibri Light"/>
      <w:color w:val="2E75B5"/>
      <w:sz w:val="24"/>
      <w:szCs w:val="24"/>
      <w:lang w:val="en-US" w:eastAsia="en-US" w:bidi="en-US"/>
    </w:rPr>
  </w:style>
  <w:style w:type="paragraph" w:styleId="Heading5">
    <w:name w:val="heading 5"/>
    <w:basedOn w:val="Normal"/>
    <w:next w:val="Normal"/>
    <w:qFormat/>
    <w:pPr>
      <w:keepNext/>
      <w:keepLines/>
      <w:spacing w:before="40"/>
      <w:outlineLvl w:val="4"/>
    </w:pPr>
    <w:rPr>
      <w:rFonts w:ascii="Calibri Light" w:hAnsi="Calibri Light" w:eastAsia="Calibri Light" w:cs="Calibri Light"/>
      <w:caps/>
      <w:color w:val="2E75B5"/>
      <w:lang w:val="en-US" w:eastAsia="en-US" w:bidi="en-US"/>
    </w:rPr>
  </w:style>
  <w:style w:type="paragraph" w:styleId="Heading6">
    <w:name w:val="heading 6"/>
    <w:basedOn w:val="Normal"/>
    <w:next w:val="Normal"/>
    <w:qFormat/>
    <w:pPr>
      <w:keepNext/>
      <w:keepLines/>
      <w:spacing w:before="40"/>
      <w:outlineLvl w:val="5"/>
    </w:pPr>
    <w:rPr>
      <w:rFonts w:ascii="Calibri Light" w:hAnsi="Calibri Light" w:eastAsia="Calibri Light" w:cs="Calibri Light"/>
      <w:i/>
      <w:iCs/>
      <w:caps/>
      <w:color w:val="1F4E79"/>
      <w:lang w:val="en-US" w:eastAsia="en-US" w:bidi="en-US"/>
    </w:rPr>
  </w:style>
  <w:style w:type="paragraph" w:styleId="Heading7">
    <w:name w:val="heading 7"/>
    <w:basedOn w:val="Normal"/>
    <w:next w:val="Normal"/>
    <w:qFormat/>
    <w:pPr>
      <w:keepNext/>
      <w:keepLines/>
      <w:spacing w:before="40"/>
      <w:outlineLvl w:val="6"/>
    </w:pPr>
    <w:rPr>
      <w:rFonts w:ascii="Calibri Light" w:hAnsi="Calibri Light" w:eastAsia="Calibri Light" w:cs="Calibri Light"/>
      <w:b/>
      <w:bCs/>
      <w:color w:val="1F4E79"/>
      <w:lang w:val="en-US" w:eastAsia="en-US" w:bidi="en-US"/>
    </w:rPr>
  </w:style>
  <w:style w:type="paragraph" w:styleId="Heading8">
    <w:name w:val="heading 8"/>
    <w:basedOn w:val="Normal"/>
    <w:next w:val="Normal"/>
    <w:qFormat/>
    <w:pPr>
      <w:keepNext/>
      <w:keepLines/>
      <w:spacing w:before="40"/>
      <w:outlineLvl w:val="7"/>
    </w:pPr>
    <w:rPr>
      <w:rFonts w:ascii="Calibri Light" w:hAnsi="Calibri Light" w:eastAsia="Calibri Light" w:cs="Calibri Light"/>
      <w:b/>
      <w:bCs/>
      <w:i/>
      <w:iCs/>
      <w:color w:val="1F4E79"/>
      <w:lang w:val="en-US" w:eastAsia="en-US" w:bidi="en-US"/>
    </w:rPr>
  </w:style>
  <w:style w:type="paragraph" w:styleId="Heading9">
    <w:name w:val="heading 9"/>
    <w:basedOn w:val="Normal"/>
    <w:next w:val="Normal"/>
    <w:qFormat/>
    <w:pPr>
      <w:keepNext/>
      <w:keepLines/>
      <w:spacing w:before="40"/>
      <w:outlineLvl w:val="8"/>
    </w:pPr>
    <w:rPr>
      <w:rFonts w:ascii="Calibri Light" w:hAnsi="Calibri Light" w:eastAsia="Calibri Light" w:cs="Calibri Light"/>
      <w:i/>
      <w:iCs/>
      <w:color w:val="1F4E79"/>
      <w:lang w:val="en-US" w:eastAsia="en-US" w:bidi="en-US"/>
    </w:rPr>
  </w:style>
  <w:style w:type="character" w:styleId="Header Char" w:customStyle="1">
    <w:name w:val="Header Char"/>
    <w:qFormat/>
    <w:rPr>
      <w:rtl w:val="off"/>
    </w:rPr>
  </w:style>
  <w:style w:type="character" w:styleId="Footer Char" w:customStyle="1">
    <w:name w:val="Footer Char"/>
    <w:qFormat/>
    <w:rPr>
      <w:rtl w:val="off"/>
    </w:rPr>
  </w:style>
  <w:style w:type="paragraph" w:styleId="BalloonText">
    <w:name w:val="Balloon Text"/>
    <w:basedOn w:val="Normal"/>
    <w:next w:val="BalloonText"/>
    <w:qFormat/>
    <w:pPr/>
    <w:rPr>
      <w:rFonts w:ascii="Segoe UI" w:hAnsi="Segoe UI" w:eastAsia="Segoe UI" w:cs="Segoe UI"/>
      <w:sz w:val="18"/>
      <w:szCs w:val="18"/>
      <w:lang w:val="en-US" w:eastAsia="en-US" w:bidi="en-US"/>
    </w:rPr>
  </w:style>
  <w:style w:type="character" w:styleId="Balloon Text Char" w:customStyle="1">
    <w:name w:val="Balloon Text Char"/>
    <w:qFormat/>
    <w:rPr>
      <w:rFonts w:ascii="Segoe UI" w:hAnsi="Segoe UI" w:eastAsia="Segoe UI" w:cs="Segoe UI"/>
      <w:sz w:val="18"/>
      <w:szCs w:val="18"/>
      <w:rtl w:val="off"/>
    </w:rPr>
  </w:style>
  <w:style w:type="paragraph" w:styleId="whiteonblack" w:customStyle="1">
    <w:name w:val="whiteonblack"/>
    <w:basedOn w:val="Normal"/>
    <w:next w:val="whiteonblack"/>
    <w:qFormat/>
    <w:pPr>
      <w:shd w:val="clear" w:color="auto" w:fill="FFFFFF"/>
    </w:pPr>
    <w:rPr>
      <w:rFonts w:ascii="Verdana" w:hAnsi="Verdana" w:eastAsia="Verdana" w:cs="Verdana"/>
      <w:b/>
      <w:bCs/>
      <w:color w:val="000000"/>
      <w:sz w:val="18"/>
      <w:szCs w:val="18"/>
      <w:lang w:val="en-US" w:eastAsia="en-US" w:bidi="en-US"/>
    </w:rPr>
  </w:style>
  <w:style w:type="character" w:styleId="Hyperlink">
    <w:name w:val="Hyperlink"/>
    <w:qFormat/>
    <w:rPr>
      <w:color w:val="0563C1"/>
      <w:u w:val="single"/>
      <w:rtl w:val="off"/>
    </w:rPr>
  </w:style>
  <w:style w:type="character" w:styleId="UnresolvedMention">
    <w:name w:val="Unresolved Mention"/>
    <w:qFormat/>
    <w:rPr>
      <w:color w:val="808080"/>
      <w:shd w:val="clear" w:color="auto" w:fill="E6E6E6"/>
      <w:rtl w:val="off"/>
    </w:rPr>
  </w:style>
  <w:style w:type="paragraph" w:styleId="NormalWeb">
    <w:name w:val="Normal (Web)"/>
    <w:basedOn w:val="Normal"/>
    <w:next w:val="NormalWeb"/>
    <w:qFormat/>
    <w:pPr/>
    <w:rPr>
      <w:rFonts w:ascii="Times New Roman" w:hAnsi="Times New Roman" w:eastAsia="Times New Roman" w:cs="Times New Roman"/>
      <w:sz w:val="24"/>
      <w:szCs w:val="24"/>
      <w:lang w:val="en-US" w:eastAsia="en-US" w:bidi="en-US"/>
    </w:rPr>
  </w:style>
  <w:style w:type="character" w:styleId="CommentReference">
    <w:name w:val="annotation reference"/>
    <w:qFormat/>
    <w:rPr>
      <w:sz w:val="16"/>
      <w:szCs w:val="16"/>
      <w:rtl w:val="off"/>
    </w:rPr>
  </w:style>
  <w:style w:type="paragraph" w:styleId="CommentText">
    <w:name w:val="annotation text"/>
    <w:basedOn w:val="Normal"/>
    <w:next w:val="CommentText"/>
    <w:qFormat/>
    <w:pPr/>
    <w:rPr>
      <w:sz w:val="20"/>
      <w:szCs w:val="20"/>
      <w:lang w:val="en-US" w:eastAsia="en-US" w:bidi="en-US"/>
    </w:rPr>
  </w:style>
  <w:style w:type="paragraph" w:styleId="CommentSubject">
    <w:name w:val="annotation subject"/>
    <w:basedOn w:val="CommentText"/>
    <w:next w:val="CommentText"/>
    <w:qFormat/>
    <w:pPr/>
    <w:rPr>
      <w:b/>
      <w:bCs/>
      <w:lang w:val="en-US" w:eastAsia="en-US" w:bidi="en-US"/>
    </w:rPr>
  </w:style>
  <w:style w:type="character" w:styleId="Comment Text Char" w:customStyle="1">
    <w:name w:val="Comment Text Char"/>
    <w:qFormat/>
    <w:rPr>
      <w:sz w:val="20"/>
      <w:szCs w:val="20"/>
      <w:rtl w:val="off"/>
    </w:rPr>
  </w:style>
  <w:style w:type="character" w:styleId="Comment Subject Char" w:customStyle="1">
    <w:name w:val="Comment Subject Char"/>
    <w:basedOn w:val="Comment Text Char"/>
    <w:qFormat/>
    <w:rPr>
      <w:b/>
      <w:bCs/>
      <w:sz w:val="20"/>
      <w:szCs w:val="20"/>
    </w:rPr>
  </w:style>
  <w:style w:type="character" w:styleId="Heading 1 Char" w:customStyle="1">
    <w:name w:val="Heading 1 Char"/>
    <w:qFormat/>
    <w:rPr>
      <w:rFonts w:ascii="Calibri Light" w:hAnsi="Calibri Light" w:eastAsia="Calibri Light" w:cs="Calibri Light"/>
      <w:color w:val="1F4E79"/>
      <w:sz w:val="36"/>
      <w:szCs w:val="36"/>
      <w:rtl w:val="off"/>
    </w:rPr>
  </w:style>
  <w:style w:type="character" w:styleId="Heading 2 Char" w:customStyle="1">
    <w:name w:val="Heading 2 Char"/>
    <w:qFormat/>
    <w:rPr>
      <w:rFonts w:ascii="Calibri Light" w:hAnsi="Calibri Light" w:eastAsia="Calibri Light" w:cs="Calibri Light"/>
      <w:color w:val="2E75B5"/>
      <w:sz w:val="32"/>
      <w:szCs w:val="32"/>
      <w:rtl w:val="off"/>
    </w:rPr>
  </w:style>
  <w:style w:type="character" w:styleId="Heading 3 Char" w:customStyle="1">
    <w:name w:val="Heading 3 Char"/>
    <w:qFormat/>
    <w:rPr>
      <w:rFonts w:ascii="Calibri Light" w:hAnsi="Calibri Light" w:eastAsia="Calibri Light" w:cs="Calibri Light"/>
      <w:color w:val="2E75B5"/>
      <w:sz w:val="28"/>
      <w:szCs w:val="28"/>
      <w:rtl w:val="off"/>
    </w:rPr>
  </w:style>
  <w:style w:type="character" w:styleId="Heading 4 Char" w:customStyle="1">
    <w:name w:val="Heading 4 Char"/>
    <w:qFormat/>
    <w:rPr>
      <w:rFonts w:ascii="Calibri Light" w:hAnsi="Calibri Light" w:eastAsia="Calibri Light" w:cs="Calibri Light"/>
      <w:color w:val="2E75B5"/>
      <w:sz w:val="24"/>
      <w:szCs w:val="24"/>
      <w:rtl w:val="off"/>
    </w:rPr>
  </w:style>
  <w:style w:type="character" w:styleId="Heading 5 Char" w:customStyle="1">
    <w:name w:val="Heading 5 Char"/>
    <w:qFormat/>
    <w:rPr>
      <w:rFonts w:ascii="Calibri Light" w:hAnsi="Calibri Light" w:eastAsia="Calibri Light" w:cs="Calibri Light"/>
      <w:caps/>
      <w:smallCaps w:val="off"/>
      <w:color w:val="2E75B5"/>
      <w:rtl w:val="off"/>
    </w:rPr>
  </w:style>
  <w:style w:type="character" w:styleId="Heading 6 Char" w:customStyle="1">
    <w:name w:val="Heading 6 Char"/>
    <w:qFormat/>
    <w:rPr>
      <w:rFonts w:ascii="Calibri Light" w:hAnsi="Calibri Light" w:eastAsia="Calibri Light" w:cs="Calibri Light"/>
      <w:i/>
      <w:iCs/>
      <w:caps/>
      <w:smallCaps w:val="off"/>
      <w:color w:val="1F4E79"/>
      <w:rtl w:val="off"/>
    </w:rPr>
  </w:style>
  <w:style w:type="character" w:styleId="Heading 7 Char" w:customStyle="1">
    <w:name w:val="Heading 7 Char"/>
    <w:qFormat/>
    <w:rPr>
      <w:rFonts w:ascii="Calibri Light" w:hAnsi="Calibri Light" w:eastAsia="Calibri Light" w:cs="Calibri Light"/>
      <w:b/>
      <w:bCs/>
      <w:color w:val="1F4E79"/>
      <w:rtl w:val="off"/>
    </w:rPr>
  </w:style>
  <w:style w:type="character" w:styleId="Heading 8 Char" w:customStyle="1">
    <w:name w:val="Heading 8 Char"/>
    <w:qFormat/>
    <w:rPr>
      <w:rFonts w:ascii="Calibri Light" w:hAnsi="Calibri Light" w:eastAsia="Calibri Light" w:cs="Calibri Light"/>
      <w:b/>
      <w:bCs/>
      <w:i/>
      <w:iCs/>
      <w:color w:val="1F4E79"/>
      <w:rtl w:val="off"/>
    </w:rPr>
  </w:style>
  <w:style w:type="character" w:styleId="Heading 9 Char" w:customStyle="1">
    <w:name w:val="Heading 9 Char"/>
    <w:qFormat/>
    <w:rPr>
      <w:rFonts w:ascii="Calibri Light" w:hAnsi="Calibri Light" w:eastAsia="Calibri Light" w:cs="Calibri Light"/>
      <w:i/>
      <w:iCs/>
      <w:color w:val="1F4E79"/>
      <w:rtl w:val="off"/>
    </w:rPr>
  </w:style>
  <w:style w:type="paragraph" w:styleId="Caption">
    <w:name w:val="caption"/>
    <w:basedOn w:val="Normal"/>
    <w:next w:val="Normal"/>
    <w:qFormat/>
    <w:pPr/>
    <w:rPr>
      <w:b/>
      <w:bCs/>
      <w:smallCaps/>
      <w:color w:val="44546A"/>
      <w:lang w:val="en-US" w:eastAsia="en-US" w:bidi="en-US"/>
    </w:rPr>
  </w:style>
  <w:style w:type="paragraph" w:styleId="Title">
    <w:name w:val="Title"/>
    <w:basedOn w:val="Normal"/>
    <w:next w:val="Normal"/>
    <w:qFormat/>
    <w:pPr>
      <w:spacing w:line="204" w:lineRule="auto"/>
    </w:pPr>
    <w:rPr>
      <w:rFonts w:ascii="Calibri Light" w:hAnsi="Calibri Light" w:eastAsia="Calibri Light" w:cs="Calibri Light"/>
      <w:caps/>
      <w:color w:val="44546A"/>
      <w:spacing w:val="-15"/>
      <w:sz w:val="72"/>
      <w:szCs w:val="72"/>
      <w:lang w:val="en-US" w:eastAsia="en-US" w:bidi="en-US"/>
    </w:rPr>
  </w:style>
  <w:style w:type="character" w:styleId="Title Char" w:customStyle="1">
    <w:name w:val="Title Char"/>
    <w:qFormat/>
    <w:rPr>
      <w:rFonts w:ascii="Calibri Light" w:hAnsi="Calibri Light" w:eastAsia="Calibri Light" w:cs="Calibri Light"/>
      <w:caps/>
      <w:smallCaps w:val="off"/>
      <w:color w:val="44546A"/>
      <w:spacing w:val="-15"/>
      <w:sz w:val="72"/>
      <w:szCs w:val="72"/>
      <w:rtl w:val="off"/>
    </w:rPr>
  </w:style>
  <w:style w:type="paragraph" w:styleId="Subtitle">
    <w:name w:val="Subtitle"/>
    <w:basedOn w:val="Normal"/>
    <w:next w:val="Normal"/>
    <w:qFormat/>
    <w:pPr>
      <w:spacing w:after="240"/>
    </w:pPr>
    <w:rPr>
      <w:rFonts w:ascii="Calibri Light" w:hAnsi="Calibri Light" w:eastAsia="Calibri Light" w:cs="Calibri Light"/>
      <w:color w:val="5B9BD5"/>
      <w:sz w:val="28"/>
      <w:szCs w:val="28"/>
      <w:lang w:val="en-US" w:eastAsia="en-US" w:bidi="en-US"/>
    </w:rPr>
  </w:style>
  <w:style w:type="character" w:styleId="Subtitle Char" w:customStyle="1">
    <w:name w:val="Subtitle Char"/>
    <w:qFormat/>
    <w:rPr>
      <w:rFonts w:ascii="Calibri Light" w:hAnsi="Calibri Light" w:eastAsia="Calibri Light" w:cs="Calibri Light"/>
      <w:color w:val="5B9BD5"/>
      <w:sz w:val="28"/>
      <w:szCs w:val="28"/>
      <w:rtl w:val="off"/>
    </w:rPr>
  </w:style>
  <w:style w:type="character" w:styleId="Strong">
    <w:name w:val="Strong"/>
    <w:qFormat/>
    <w:rPr>
      <w:b/>
      <w:bCs/>
      <w:rtl w:val="off"/>
    </w:rPr>
  </w:style>
  <w:style w:type="character" w:styleId="Emphasis">
    <w:name w:val="Emphasis"/>
    <w:qFormat/>
    <w:rPr>
      <w:i/>
      <w:iCs/>
      <w:rtl w:val="off"/>
    </w:rPr>
  </w:style>
  <w:style w:type="paragraph" w:styleId="Quote">
    <w:name w:val="Quote"/>
    <w:basedOn w:val="Normal"/>
    <w:next w:val="Normal"/>
    <w:qFormat/>
    <w:pPr>
      <w:spacing w:before="120" w:after="120"/>
      <w:ind w:left="720"/>
    </w:pPr>
    <w:rPr>
      <w:color w:val="44546A"/>
      <w:sz w:val="24"/>
      <w:szCs w:val="24"/>
      <w:lang w:val="en-US" w:eastAsia="en-US" w:bidi="en-US"/>
    </w:rPr>
  </w:style>
  <w:style w:type="character" w:styleId="Quote Char" w:customStyle="1">
    <w:name w:val="Quote Char"/>
    <w:qFormat/>
    <w:rPr>
      <w:color w:val="44546A"/>
      <w:sz w:val="24"/>
      <w:szCs w:val="24"/>
      <w:rtl w:val="off"/>
    </w:rPr>
  </w:style>
  <w:style w:type="paragraph" w:styleId="IntenseQuote">
    <w:name w:val="Intense Quote"/>
    <w:basedOn w:val="Normal"/>
    <w:next w:val="Normal"/>
    <w:qFormat/>
    <w:pPr>
      <w:spacing w:after="240"/>
      <w:ind w:left="720"/>
      <w:jc w:val="center"/>
    </w:pPr>
    <w:rPr>
      <w:rFonts w:ascii="Calibri Light" w:hAnsi="Calibri Light" w:eastAsia="Calibri Light" w:cs="Calibri Light"/>
      <w:color w:val="44546A"/>
      <w:spacing w:val="-6"/>
      <w:sz w:val="32"/>
      <w:szCs w:val="32"/>
      <w:lang w:val="en-US" w:eastAsia="en-US" w:bidi="en-US"/>
    </w:rPr>
  </w:style>
  <w:style w:type="character" w:styleId="Intense Quote Char" w:customStyle="1">
    <w:name w:val="Intense Quote Char"/>
    <w:qFormat/>
    <w:rPr>
      <w:rFonts w:ascii="Calibri Light" w:hAnsi="Calibri Light" w:eastAsia="Calibri Light" w:cs="Calibri Light"/>
      <w:color w:val="44546A"/>
      <w:spacing w:val="-6"/>
      <w:sz w:val="32"/>
      <w:szCs w:val="32"/>
      <w:rtl w:val="off"/>
    </w:rPr>
  </w:style>
  <w:style w:type="character" w:styleId="SubtleEmphasis">
    <w:name w:val="Subtle Emphasis"/>
    <w:qFormat/>
    <w:rPr>
      <w:i/>
      <w:iCs/>
      <w:color w:val="595959"/>
      <w:rtl w:val="off"/>
    </w:rPr>
  </w:style>
  <w:style w:type="character" w:styleId="IntenseEmphasis">
    <w:name w:val="Intense Emphasis"/>
    <w:qFormat/>
    <w:rPr>
      <w:b/>
      <w:bCs/>
      <w:i/>
      <w:iCs/>
      <w:rtl w:val="off"/>
    </w:rPr>
  </w:style>
  <w:style w:type="character" w:styleId="SubtleReference">
    <w:name w:val="Subtle Reference"/>
    <w:qFormat/>
    <w:rPr>
      <w:caps w:val="off"/>
      <w:smallCaps/>
      <w:color w:val="595959"/>
      <w:rtl w:val="off"/>
    </w:rPr>
  </w:style>
  <w:style w:type="character" w:styleId="IntenseReference">
    <w:name w:val="Intense Reference"/>
    <w:qFormat/>
    <w:rPr>
      <w:b/>
      <w:bCs/>
      <w:caps w:val="off"/>
      <w:smallCaps/>
      <w:color w:val="44546A"/>
      <w:u w:val="single"/>
      <w:rtl w:val="off"/>
    </w:rPr>
  </w:style>
  <w:style w:type="character" w:styleId="BookTitle">
    <w:name w:val="Book Title"/>
    <w:qFormat/>
    <w:rPr>
      <w:b/>
      <w:bCs/>
      <w:caps w:val="off"/>
      <w:smallCaps/>
      <w:spacing w:val="10"/>
      <w:rtl w:val="off"/>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US" w:eastAsia="en-US" w:bidi="en-US"/>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US" w:eastAsia="en-US" w:bidi="en-US"/>
    </w:rPr>
  </w:style>
  <w:style w:type="paragraph" w:styleId="Default" w:customStyle="1">
    <w:name w:val="Default"/>
    <w:basedOn w:val="[Normal]"/>
    <w:next w:val="Default"/>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Segoe UI" w:hAnsi="Segoe UI" w:eastAsia="Segoe UI" w:cs="Segoe UI"/>
      <w:color w:val="000000"/>
      <w:sz w:val="24"/>
      <w:szCs w:val="24"/>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12" Type="http://schemas.openxmlformats.org/officeDocument/2006/relationships/header" Target="header0001.xml"/>
	<Relationship Id="rId00013" Type="http://schemas.openxmlformats.org/officeDocument/2006/relationships/footer" Target="footer0001.xml"/>
	<Relationship Id="rId00014" Type="http://schemas.openxmlformats.org/officeDocument/2006/relationships/header" Target="header0001_first.xml"/>
	<Relationship Id="rId00015" Type="http://schemas.openxmlformats.org/officeDocument/2006/relationships/footer" Target="footer0001_first.xml"/>
	<Relationship Id="rId00016" Type="http://schemas.openxmlformats.org/officeDocument/2006/relationships/numbering" Target="numbering.xml"/>
	<Relationship Id="rId00017" Type="http://schemas.openxmlformats.org/officeDocument/2006/relationships/fontTable" Target="fontTable.xml"/>
	<Relationship Id="rId00018" Type="http://schemas.openxmlformats.org/officeDocument/2006/relationships/settings" Target="settings.xml"/>
</Relationships>
</file>

<file path=word/_rels/header0001.xml.rels><?xml version="1.0" encoding="UTF-8" standalone="yes"?><Relationships xmlns="http://schemas.openxmlformats.org/package/2006/relationships">
	<Relationship Id="rId00006" Type="http://schemas.openxmlformats.org/officeDocument/2006/relationships/image" Target="media/image0001.svg"/>
	<Relationship Id="rId00007" Type="http://schemas.openxmlformats.org/officeDocument/2006/relationships/image" Target="media/image0002.png"/>
</Relationships>
</file>

<file path=word/_rels/header0001_first.xml.rels><?xml version="1.0" encoding="UTF-8" standalone="yes"?><Relationships xmlns="http://schemas.openxmlformats.org/package/2006/relationships">
	<Relationship Id="rId00008" Type="http://schemas.openxmlformats.org/officeDocument/2006/relationships/image" Target="media/image0003.emf"/>
	<Relationship Id="rId00009" Type="http://schemas.openxmlformats.org/officeDocument/2006/relationships/image" Target="media/image0004.emf"/>
	<Relationship Id="rId00010" Type="http://schemas.openxmlformats.org/officeDocument/2006/relationships/image" Target="media/image0005.svg"/>
	<Relationship Id="rId00011" Type="http://schemas.openxmlformats.org/officeDocument/2006/relationships/image" Target="media/image0006.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Neil</dc:creator>
  <dcterms:created xsi:type="dcterms:W3CDTF">2026-07-13T14:54:00Z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542af7-5d97-419a-998f-f67370cea91a_ContentBits">
    <vt:lpwstr>0</vt:lpwstr>
  </property>
  <property fmtid="{D5CDD505-2E9C-101B-9397-08002B2CF9AE}" pid="3" name="ContentTypeId">
    <vt:lpwstr>0x01010072B2C3C259EA894FA24543412B4D09BF</vt:lpwstr>
  </property>
  <property fmtid="{D5CDD505-2E9C-101B-9397-08002B2CF9AE}" pid="4" name="MSIP_Label_bc542af7-5d97-419a-998f-f67370cea91a_Enabled">
    <vt:lpwstr>true</vt:lpwstr>
  </property>
  <property fmtid="{D5CDD505-2E9C-101B-9397-08002B2CF9AE}" pid="5" name="MSIP_Label_bc542af7-5d97-419a-998f-f67370cea91a_SetDate">
    <vt:lpwstr>2023-02-07T14:23:38Z</vt:lpwstr>
  </property>
  <property fmtid="{D5CDD505-2E9C-101B-9397-08002B2CF9AE}" pid="6" name="MSIP_Label_bc542af7-5d97-419a-998f-f67370cea91a_SiteId">
    <vt:lpwstr>dc3928e3-f38b-4f13-af96-f58c50fbdac7</vt:lpwstr>
  </property>
  <property fmtid="{D5CDD505-2E9C-101B-9397-08002B2CF9AE}" pid="7" name="MSIP_Label_bc542af7-5d97-419a-998f-f67370cea91a_Name">
    <vt:lpwstr>General</vt:lpwstr>
  </property>
  <property fmtid="{D5CDD505-2E9C-101B-9397-08002B2CF9AE}" pid="8" name="MSIP_Label_bc542af7-5d97-419a-998f-f67370cea91a_ActionId">
    <vt:lpwstr>b0eb0ca4-e690-48bd-ae73-2ac1653834b2</vt:lpwstr>
  </property>
  <property fmtid="{D5CDD505-2E9C-101B-9397-08002B2CF9AE}" pid="9" name="MSIP_Label_bc542af7-5d97-419a-998f-f67370cea91a_Method">
    <vt:lpwstr>Standard</vt:lpwstr>
  </property>
</Properties>
</file>